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ManuscriptMeta"/>
      </w:pPr>
      <w:r>
        <w:t>老陈聊AI    /    入门知识库</w:t>
      </w:r>
    </w:p>
    <w:p>
      <w:pPr>
        <w:pStyle w:val="Title"/>
      </w:pPr>
      <w:r>
        <w:t>DeepSeek Harness 中文使用手册</w:t>
      </w:r>
    </w:p>
    <w:p>
      <w:pPr>
        <w:pStyle w:val="ManuscriptMeta"/>
      </w:pPr>
      <w:r>
        <w:t>2026-11-03 核对    /    源码基线 0.2.1-rc.5</w:t>
      </w:r>
    </w:p>
    <w:p>
      <w:pPr>
        <w:pStyle w:val="ManuscriptLead"/>
      </w:pPr>
      <w:r>
        <w:t>从下载安装到第一份会议简报，跟着界面认识 DeepSeek。已有使用经验，可以直接查找 Skills 的安装位置、工作区文件和读写权限。</w:t>
      </w:r>
    </w:p>
    <w:p>
      <w:pPr>
        <w:pStyle w:val="SourceLine"/>
      </w:pPr>
      <w:hyperlink r:id="rId10">
        <w:r>
          <w:rPr>
            <w:color w:val="245A79"/>
            <w:u w:val="single"/>
          </w:rPr>
          <w:t>随书实验包</w:t>
        </w:r>
      </w:hyperlink>
      <w:r>
        <w:t xml:space="preserve">    ·    </w:t>
      </w:r>
      <w:hyperlink r:id="rId11">
        <w:r>
          <w:rPr>
            <w:color w:val="245A79"/>
            <w:u w:val="single"/>
          </w:rPr>
          <w:t>在线阅读</w:t>
        </w:r>
      </w:hyperlink>
    </w:p>
    <w:p>
      <w:r>
        <w:t>通过文档大纲可直接跳到任意主题。要拍演示视频，请看最后一章的机位安排、口播和现场核对方法。</w:t>
      </w:r>
    </w:p>
    <w:p>
      <w:pPr>
        <w:pStyle w:val="Heading2"/>
      </w:pPr>
      <w:r>
        <w:t>阅读目录</w:t>
      </w:r>
    </w:p>
    <w:p>
      <w:r>
        <w:rPr>
          <w:b/>
        </w:rPr>
        <w:t xml:space="preserve">01  </w:t>
      </w:r>
      <w:hyperlink w:anchor="part1">
        <w:r>
          <w:rPr>
            <w:color w:val="245A79"/>
            <w:u w:val="single"/>
          </w:rPr>
          <w:t>初次使用 DeepSeek</w:t>
        </w:r>
      </w:hyperlink>
      <w:r>
        <w:t xml:space="preserve">　从网页和手机开始，弄清账号、手机号验证和 API 费用。</w:t>
      </w:r>
    </w:p>
    <w:p>
      <w:r>
        <w:rPr>
          <w:b/>
        </w:rPr>
        <w:t xml:space="preserve">02  </w:t>
      </w:r>
      <w:hyperlink w:anchor="part2">
        <w:r>
          <w:rPr>
            <w:color w:val="245A79"/>
            <w:u w:val="single"/>
          </w:rPr>
          <w:t>认识 Harness 工作台</w:t>
        </w:r>
      </w:hyperlink>
      <w:r>
        <w:t xml:space="preserve">　安装桌面端，选择模型，看懂工具记录，做出第一份文件。</w:t>
      </w:r>
    </w:p>
    <w:p>
      <w:r>
        <w:rPr>
          <w:b/>
        </w:rPr>
        <w:t xml:space="preserve">03  </w:t>
      </w:r>
      <w:hyperlink w:anchor="part3">
        <w:r>
          <w:rPr>
            <w:color w:val="245A79"/>
            <w:u w:val="single"/>
          </w:rPr>
          <w:t>Skills 与文件权限</w:t>
        </w:r>
      </w:hyperlink>
      <w:r>
        <w:t xml:space="preserve">　查看技能的安装位置，核对当前工作区和读写边界。</w:t>
      </w:r>
    </w:p>
    <w:p>
      <w:r>
        <w:rPr>
          <w:b/>
        </w:rPr>
        <w:t xml:space="preserve">04  </w:t>
      </w:r>
      <w:hyperlink w:anchor="part4">
        <w:r>
          <w:rPr>
            <w:color w:val="245A79"/>
            <w:u w:val="single"/>
          </w:rPr>
          <w:t>复盘与录制</w:t>
        </w:r>
      </w:hyperlink>
      <w:r>
        <w:t xml:space="preserve">　还原一次任务，准备视频演示，区分来源与实测结果。</w:t>
      </w:r>
    </w:p>
    <w:p>
      <w:r>
        <w:rPr>
          <w:b/>
        </w:rPr>
        <w:t xml:space="preserve">05  </w:t>
      </w:r>
      <w:hyperlink w:anchor="part5">
        <w:r>
          <w:rPr>
            <w:color w:val="245A79"/>
            <w:u w:val="single"/>
          </w:rPr>
          <w:t>合作博主拍摄脚本</w:t>
        </w:r>
      </w:hyperlink>
      <w:r>
        <w:t xml:space="preserve">　录一段约五分钟的连续实验，用原文件、任务轨迹和输出文件核对结果。</w:t>
      </w:r>
    </w:p>
    <w:p>
      <w:pPr>
        <w:pStyle w:val="Heading1"/>
      </w:pPr>
      <w:bookmarkStart w:id="1" w:name="part1"/>
      <w:r>
        <w:t>初次使用 DeepSeek</w:t>
      </w:r>
      <w:bookmarkEnd w:id="1"/>
    </w:p>
    <w:p>
      <w:pPr>
        <w:pStyle w:val="ManuscriptLead"/>
        <w:keepNext/>
      </w:pPr>
      <w:r>
        <w:t>从网页和手机开始，弄清账号、手机号验证和 API 费用。</w:t>
      </w:r>
    </w:p>
    <w:p>
      <w:pPr>
        <w:pStyle w:val="Heading2"/>
      </w:pPr>
      <w:r>
        <w:t>打开网页版或手机 App，开始第一次对话</w:t>
      </w:r>
    </w:p>
    <w:p>
      <w:pPr>
        <w:pStyle w:val="ManuscriptLead"/>
      </w:pPr>
      <w:r>
        <w:t>只想问一个问题、读一段材料，先打开 DeepSeek 对话。电脑用浏览器，手机用官方 App，两边都能接着聊。</w:t>
      </w:r>
    </w:p>
    <w:p>
      <w:pPr>
        <w:pStyle w:val="Heading3"/>
      </w:pPr>
      <w:r>
        <w:t>从哪个入口进去</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341"/>
        <w:gridCol w:w="4887"/>
        <w:gridCol w:w="2650"/>
      </w:tblGrid>
      <w:tr>
        <w:trPr>
          <w:cantSplit/>
          <w:tblHeader w:val="true"/>
        </w:trPr>
        <w:tc>
          <w:tcPr>
            <w:tcW w:type="dxa" w:w="2341"/>
            <w:vAlign w:val="center"/>
            <w:shd w:fill="DCE8EE" w:val="clear"/>
          </w:tcPr>
          <w:p>
            <w:pPr>
              <w:pStyle w:val="TableBody"/>
              <w:keepNext/>
            </w:pPr>
            <w:r>
              <w:rPr>
                <w:b/>
                <w:color w:val="000000"/>
              </w:rPr>
              <w:t>手边的设备</w:t>
            </w:r>
          </w:p>
        </w:tc>
        <w:tc>
          <w:tcPr>
            <w:tcW w:type="dxa" w:w="4887"/>
            <w:vAlign w:val="center"/>
            <w:shd w:fill="DCE8EE" w:val="clear"/>
          </w:tcPr>
          <w:p>
            <w:pPr>
              <w:pStyle w:val="TableBody"/>
              <w:keepNext/>
            </w:pPr>
            <w:r>
              <w:rPr>
                <w:b/>
                <w:color w:val="000000"/>
              </w:rPr>
              <w:t>打开方法</w:t>
            </w:r>
          </w:p>
        </w:tc>
        <w:tc>
          <w:tcPr>
            <w:tcW w:type="dxa" w:w="2650"/>
            <w:vAlign w:val="center"/>
            <w:shd w:fill="DCE8EE" w:val="clear"/>
          </w:tcPr>
          <w:p>
            <w:pPr>
              <w:pStyle w:val="TableBody"/>
              <w:keepNext/>
            </w:pPr>
            <w:r>
              <w:rPr>
                <w:b/>
                <w:color w:val="000000"/>
              </w:rPr>
              <w:t>适合做什么</w:t>
            </w:r>
          </w:p>
        </w:tc>
      </w:tr>
      <w:tr>
        <w:trPr>
          <w:cantSplit/>
        </w:trPr>
        <w:tc>
          <w:tcPr>
            <w:tcW w:type="dxa" w:w="2341"/>
            <w:vAlign w:val="center"/>
          </w:tcPr>
          <w:p>
            <w:pPr>
              <w:pStyle w:val="TableBody"/>
              <w:keepNext w:val="0"/>
            </w:pPr>
            <w:r>
              <w:t>电脑浏览器</w:t>
            </w:r>
          </w:p>
        </w:tc>
        <w:tc>
          <w:tcPr>
            <w:tcW w:type="dxa" w:w="4887"/>
            <w:vAlign w:val="center"/>
          </w:tcPr>
          <w:p>
            <w:pPr>
              <w:pStyle w:val="TableBody"/>
              <w:keepNext w:val="0"/>
            </w:pPr>
            <w:r>
              <w:t>从 DeepSeek 官网点「和 DeepSeek 对话」，或直接打开 chat.deepseek.com</w:t>
            </w:r>
          </w:p>
        </w:tc>
        <w:tc>
          <w:tcPr>
            <w:tcW w:type="dxa" w:w="2650"/>
            <w:vAlign w:val="center"/>
          </w:tcPr>
          <w:p>
            <w:pPr>
              <w:pStyle w:val="TableBody"/>
              <w:keepNext w:val="0"/>
            </w:pPr>
            <w:r>
              <w:t>粘贴长材料，一边看原文一边核对回答</w:t>
            </w:r>
          </w:p>
        </w:tc>
      </w:tr>
      <w:tr>
        <w:trPr>
          <w:cantSplit/>
        </w:trPr>
        <w:tc>
          <w:tcPr>
            <w:tcW w:type="dxa" w:w="2341"/>
            <w:vAlign w:val="center"/>
          </w:tcPr>
          <w:p>
            <w:pPr>
              <w:pStyle w:val="TableBody"/>
              <w:keepNext w:val="0"/>
            </w:pPr>
            <w:r>
              <w:t>iPhone 或安卓手机</w:t>
            </w:r>
          </w:p>
        </w:tc>
        <w:tc>
          <w:tcPr>
            <w:tcW w:type="dxa" w:w="4887"/>
            <w:vAlign w:val="center"/>
          </w:tcPr>
          <w:p>
            <w:pPr>
              <w:pStyle w:val="TableBody"/>
              <w:keepNext w:val="0"/>
            </w:pPr>
            <w:r>
              <w:t>从 deepseek.com/download 的移动端入口进入对应商店或下载页。iPhone 产品名为「DeepSeek - AI 智能助手」</w:t>
            </w:r>
          </w:p>
        </w:tc>
        <w:tc>
          <w:tcPr>
            <w:tcW w:type="dxa" w:w="2650"/>
            <w:vAlign w:val="center"/>
          </w:tcPr>
          <w:p>
            <w:pPr>
              <w:pStyle w:val="TableBody"/>
              <w:keepNext w:val="0"/>
            </w:pPr>
            <w:r>
              <w:t>随手问答、上传手边的照片或文件</w:t>
            </w:r>
          </w:p>
        </w:tc>
      </w:tr>
      <w:tr>
        <w:trPr>
          <w:cantSplit/>
        </w:trPr>
        <w:tc>
          <w:tcPr>
            <w:tcW w:type="dxa" w:w="2341"/>
            <w:vAlign w:val="center"/>
          </w:tcPr>
          <w:p>
            <w:pPr>
              <w:pStyle w:val="TableBody"/>
              <w:keepNext w:val="0"/>
            </w:pPr>
            <w:r>
              <w:t>已经在电脑上装了 Harness</w:t>
            </w:r>
          </w:p>
        </w:tc>
        <w:tc>
          <w:tcPr>
            <w:tcW w:type="dxa" w:w="4887"/>
            <w:vAlign w:val="center"/>
          </w:tcPr>
          <w:p>
            <w:pPr>
              <w:pStyle w:val="TableBody"/>
              <w:keepNext w:val="0"/>
            </w:pPr>
            <w:r>
              <w:t>需要读取一个本地项目目录时，再打开桌面上的 DeepSeek Harness</w:t>
            </w:r>
          </w:p>
        </w:tc>
        <w:tc>
          <w:tcPr>
            <w:tcW w:type="dxa" w:w="2650"/>
            <w:vAlign w:val="center"/>
          </w:tcPr>
          <w:p>
            <w:pPr>
              <w:pStyle w:val="TableBody"/>
              <w:keepNext w:val="0"/>
            </w:pPr>
            <w:r>
              <w:t>在选定工作区内连续处理文件</w:t>
            </w:r>
          </w:p>
        </w:tc>
      </w:tr>
    </w:tbl>
    <w:p>
      <w:pPr>
        <w:pStyle w:val="ManuscriptMeta"/>
      </w:pPr>
      <w:r>
        <w:t>认准官网域名，尤其是搜索结果里的下载按钮。iPhone 中国区商店页面的开发者是杭州深度求索人工智能基础技术研究有限公司。</w:t>
      </w:r>
    </w:p>
    <w:p>
      <w:pPr>
        <w:pStyle w:val="Heading3"/>
      </w:pPr>
      <w:r>
        <w:t>认识一条对话</w:t>
      </w:r>
    </w:p>
    <w:p>
      <w:r>
        <w:t>输入框承接你写的问题或贴进去的文字。按发送后，回答会出现在同一条对话里。继续发消息，模型就能参考前面的内容；换了完全不同的主题，可以新建对话。</w:t>
      </w:r>
    </w:p>
    <w:p>
      <w:r>
        <w:t>开头写清要交付什么，比只写一个主题有效。例如“我要给参会同事发一条通知，请从下面原文中提取时间、地点和要带的材料。缺的项目写待确认。”回答出来后可以接着说“删去背景，控制在 100 字”。</w:t>
      </w:r>
    </w:p>
    <w:p>
      <w:pPr>
        <w:pStyle w:val="Heading3"/>
      </w:pPr>
      <w:r>
        <w:t>什么时候用附件、联网或深入思考</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576"/>
        <w:gridCol w:w="3948"/>
        <w:gridCol w:w="3354"/>
      </w:tblGrid>
      <w:tr>
        <w:trPr>
          <w:cantSplit/>
          <w:tblHeader w:val="true"/>
        </w:trPr>
        <w:tc>
          <w:tcPr>
            <w:tcW w:type="dxa" w:w="2576"/>
            <w:vAlign w:val="center"/>
            <w:shd w:fill="DCE8EE" w:val="clear"/>
          </w:tcPr>
          <w:p>
            <w:pPr>
              <w:pStyle w:val="TableBody"/>
              <w:keepNext/>
            </w:pPr>
            <w:r>
              <w:rPr>
                <w:b/>
                <w:color w:val="000000"/>
              </w:rPr>
              <w:t>问题里缺什么</w:t>
            </w:r>
          </w:p>
        </w:tc>
        <w:tc>
          <w:tcPr>
            <w:tcW w:type="dxa" w:w="3948"/>
            <w:vAlign w:val="center"/>
            <w:shd w:fill="DCE8EE" w:val="clear"/>
          </w:tcPr>
          <w:p>
            <w:pPr>
              <w:pStyle w:val="TableBody"/>
              <w:keepNext/>
            </w:pPr>
            <w:r>
              <w:rPr>
                <w:b/>
                <w:color w:val="000000"/>
              </w:rPr>
              <w:t>怎么补进去</w:t>
            </w:r>
          </w:p>
        </w:tc>
        <w:tc>
          <w:tcPr>
            <w:tcW w:type="dxa" w:w="3354"/>
            <w:vAlign w:val="center"/>
            <w:shd w:fill="DCE8EE" w:val="clear"/>
          </w:tcPr>
          <w:p>
            <w:pPr>
              <w:pStyle w:val="TableBody"/>
              <w:keepNext/>
            </w:pPr>
            <w:r>
              <w:rPr>
                <w:b/>
                <w:color w:val="000000"/>
              </w:rPr>
              <w:t>答完看什么</w:t>
            </w:r>
          </w:p>
        </w:tc>
      </w:tr>
      <w:tr>
        <w:trPr>
          <w:cantSplit/>
        </w:trPr>
        <w:tc>
          <w:tcPr>
            <w:tcW w:type="dxa" w:w="2576"/>
            <w:vAlign w:val="center"/>
          </w:tcPr>
          <w:p>
            <w:pPr>
              <w:pStyle w:val="TableBody"/>
              <w:keepNext w:val="0"/>
            </w:pPr>
            <w:r>
              <w:t>原文在文档或照片里</w:t>
            </w:r>
          </w:p>
        </w:tc>
        <w:tc>
          <w:tcPr>
            <w:tcW w:type="dxa" w:w="3948"/>
            <w:vAlign w:val="center"/>
          </w:tcPr>
          <w:p>
            <w:pPr>
              <w:pStyle w:val="TableBody"/>
              <w:keepNext w:val="0"/>
            </w:pPr>
            <w:r>
              <w:t>从当前客户端提供的文件或图片入口选择材料，再说明要从中找什么</w:t>
            </w:r>
          </w:p>
        </w:tc>
        <w:tc>
          <w:tcPr>
            <w:tcW w:type="dxa" w:w="3354"/>
            <w:vAlign w:val="center"/>
          </w:tcPr>
          <w:p>
            <w:pPr>
              <w:pStyle w:val="TableBody"/>
              <w:keepNext w:val="0"/>
            </w:pPr>
            <w:r>
              <w:t>核对识别出来的姓名、日期、计量单位和表格行列</w:t>
            </w:r>
          </w:p>
        </w:tc>
      </w:tr>
      <w:tr>
        <w:trPr>
          <w:cantSplit/>
        </w:trPr>
        <w:tc>
          <w:tcPr>
            <w:tcW w:type="dxa" w:w="2576"/>
            <w:vAlign w:val="center"/>
          </w:tcPr>
          <w:p>
            <w:pPr>
              <w:pStyle w:val="TableBody"/>
              <w:keepNext w:val="0"/>
            </w:pPr>
            <w:r>
              <w:t>需要今天的公告或刚发布的消息</w:t>
            </w:r>
          </w:p>
        </w:tc>
        <w:tc>
          <w:tcPr>
            <w:tcW w:type="dxa" w:w="3948"/>
            <w:vAlign w:val="center"/>
          </w:tcPr>
          <w:p>
            <w:pPr>
              <w:pStyle w:val="TableBody"/>
              <w:keepNext w:val="0"/>
            </w:pPr>
            <w:r>
              <w:t>使用当前客户端提供的联网搜索，并写清机构、日期和要查的问题</w:t>
            </w:r>
          </w:p>
        </w:tc>
        <w:tc>
          <w:tcPr>
            <w:tcW w:type="dxa" w:w="3354"/>
            <w:vAlign w:val="center"/>
          </w:tcPr>
          <w:p>
            <w:pPr>
              <w:pStyle w:val="TableBody"/>
              <w:keepNext w:val="0"/>
            </w:pPr>
            <w:r>
              <w:t>点开来源，看发布日期与发布机构能否支持答案</w:t>
            </w:r>
          </w:p>
        </w:tc>
      </w:tr>
      <w:tr>
        <w:trPr>
          <w:cantSplit/>
        </w:trPr>
        <w:tc>
          <w:tcPr>
            <w:tcW w:type="dxa" w:w="2576"/>
            <w:vAlign w:val="center"/>
          </w:tcPr>
          <w:p>
            <w:pPr>
              <w:pStyle w:val="TableBody"/>
              <w:keepNext w:val="0"/>
            </w:pPr>
            <w:r>
              <w:t>条件多，想比较几种安排</w:t>
            </w:r>
          </w:p>
        </w:tc>
        <w:tc>
          <w:tcPr>
            <w:tcW w:type="dxa" w:w="3948"/>
            <w:vAlign w:val="center"/>
          </w:tcPr>
          <w:p>
            <w:pPr>
              <w:pStyle w:val="TableBody"/>
              <w:keepNext w:val="0"/>
            </w:pPr>
            <w:r>
              <w:t>使用当前版本提供的思考选项，把限制条件和优先顺序一起给它</w:t>
            </w:r>
          </w:p>
        </w:tc>
        <w:tc>
          <w:tcPr>
            <w:tcW w:type="dxa" w:w="3354"/>
            <w:vAlign w:val="center"/>
          </w:tcPr>
          <w:p>
            <w:pPr>
              <w:pStyle w:val="TableBody"/>
              <w:keepNext w:val="0"/>
            </w:pPr>
            <w:r>
              <w:t>逐条检查是否满足条件；它也可能遗漏约束</w:t>
            </w:r>
          </w:p>
        </w:tc>
      </w:tr>
    </w:tbl>
    <w:p>
      <w:pPr>
        <w:pStyle w:val="ManuscriptMeta"/>
      </w:pPr>
      <w:r>
        <w:t>手机上使用相册、相机或语音时，系统可能就这项功能单独询问权限。只打字或读现有对话时，可以不启用这些输入方式。</w:t>
      </w:r>
    </w:p>
    <w:p>
      <w:pPr>
        <w:pStyle w:val="Heading3"/>
      </w:pPr>
      <w:r>
        <w:t>换设备后怎样续聊</w:t>
      </w:r>
    </w:p>
    <w:p>
      <w:r>
        <w:t>用同一个 DeepSeek 账号进入网页和 App，在历史记录中打开原来的对话。如果只看到空白的新对话，先核对账号，再找历史记录。有关新主题的材料分开聊，之后更容易找回。</w:t>
      </w:r>
    </w:p>
    <w:p>
      <w:pPr>
        <w:pStyle w:val="SourceLine"/>
      </w:pPr>
      <w:r>
        <w:rPr>
          <w:b/>
        </w:rPr>
        <w:t xml:space="preserve">资料出处　</w:t>
      </w:r>
      <w:hyperlink r:id="rId12">
        <w:r>
          <w:rPr>
            <w:color w:val="245A79"/>
            <w:u w:val="single"/>
          </w:rPr>
          <w:t>DeepSeek 中文官网</w:t>
        </w:r>
      </w:hyperlink>
      <w:r>
        <w:t xml:space="preserve">  ｜  </w:t>
      </w:r>
      <w:hyperlink r:id="rId13">
        <w:r>
          <w:rPr>
            <w:color w:val="245A79"/>
            <w:u w:val="single"/>
          </w:rPr>
          <w:t>DeepSeek 网页对话</w:t>
        </w:r>
      </w:hyperlink>
      <w:r>
        <w:t xml:space="preserve">  ｜  </w:t>
      </w:r>
      <w:hyperlink r:id="rId14">
        <w:r>
          <w:rPr>
            <w:color w:val="245A79"/>
            <w:u w:val="single"/>
          </w:rPr>
          <w:t>官方下载中心</w:t>
        </w:r>
      </w:hyperlink>
      <w:r>
        <w:t xml:space="preserve">  ｜  </w:t>
      </w:r>
      <w:hyperlink r:id="rId15">
        <w:r>
          <w:rPr>
            <w:color w:val="245A79"/>
            <w:u w:val="single"/>
          </w:rPr>
          <w:t>中国区 App Store 产品与版本记录</w:t>
        </w:r>
      </w:hyperlink>
      <w:r>
        <w:t xml:space="preserve">  ｜  </w:t>
      </w:r>
      <w:hyperlink r:id="rId16">
        <w:r>
          <w:rPr>
            <w:color w:val="245A79"/>
            <w:u w:val="single"/>
          </w:rPr>
          <w:t>DeepSeek 官方 App 发布说明</w:t>
        </w:r>
      </w:hyperlink>
      <w:r>
        <w:t xml:space="preserve">  ｜  </w:t>
      </w:r>
      <w:hyperlink r:id="rId17">
        <w:r>
          <w:rPr>
            <w:color w:val="245A79"/>
            <w:u w:val="single"/>
          </w:rPr>
          <w:t>DeepSeek App 系统权限说明</w:t>
        </w:r>
      </w:hyperlink>
    </w:p>
    <w:p>
      <w:pPr>
        <w:pStyle w:val="Heading2"/>
      </w:pPr>
      <w:r>
        <w:t>同一个 DeepSeek 账号，三个入口分别怎么登录</w:t>
      </w:r>
    </w:p>
    <w:p>
      <w:pPr>
        <w:pStyle w:val="ManuscriptLead"/>
      </w:pPr>
      <w:r>
        <w:t>普通聊天、Harness 桌面端和开放平台都使用 DeepSeek 账号。各个入口负责不同的事，登录后看到的首页也会不同。</w:t>
      </w:r>
    </w:p>
    <w:p>
      <w:pPr>
        <w:pStyle w:val="Heading3"/>
      </w:pPr>
      <w:r>
        <w:t>先看眼前是哪一页</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971"/>
        <w:gridCol w:w="3440"/>
        <w:gridCol w:w="3467"/>
      </w:tblGrid>
      <w:tr>
        <w:trPr>
          <w:cantSplit/>
          <w:tblHeader w:val="true"/>
        </w:trPr>
        <w:tc>
          <w:tcPr>
            <w:tcW w:type="dxa" w:w="2971"/>
            <w:vAlign w:val="center"/>
            <w:shd w:fill="DCE8EE" w:val="clear"/>
          </w:tcPr>
          <w:p>
            <w:pPr>
              <w:pStyle w:val="TableBody"/>
              <w:keepNext/>
            </w:pPr>
            <w:r>
              <w:rPr>
                <w:b/>
                <w:color w:val="000000"/>
              </w:rPr>
              <w:t>入口</w:t>
            </w:r>
          </w:p>
        </w:tc>
        <w:tc>
          <w:tcPr>
            <w:tcW w:type="dxa" w:w="3440"/>
            <w:vAlign w:val="center"/>
            <w:shd w:fill="DCE8EE" w:val="clear"/>
          </w:tcPr>
          <w:p>
            <w:pPr>
              <w:pStyle w:val="TableBody"/>
              <w:keepNext/>
            </w:pPr>
            <w:r>
              <w:rPr>
                <w:b/>
                <w:color w:val="000000"/>
              </w:rPr>
              <w:t>这里管什么</w:t>
            </w:r>
          </w:p>
        </w:tc>
        <w:tc>
          <w:tcPr>
            <w:tcW w:type="dxa" w:w="3467"/>
            <w:vAlign w:val="center"/>
            <w:shd w:fill="DCE8EE" w:val="clear"/>
          </w:tcPr>
          <w:p>
            <w:pPr>
              <w:pStyle w:val="TableBody"/>
              <w:keepNext/>
            </w:pPr>
            <w:r>
              <w:rPr>
                <w:b/>
                <w:color w:val="000000"/>
              </w:rPr>
              <w:t>第一次要准备什么</w:t>
            </w:r>
          </w:p>
        </w:tc>
      </w:tr>
      <w:tr>
        <w:trPr>
          <w:cantSplit/>
        </w:trPr>
        <w:tc>
          <w:tcPr>
            <w:tcW w:type="dxa" w:w="2971"/>
            <w:vAlign w:val="center"/>
          </w:tcPr>
          <w:p>
            <w:pPr>
              <w:pStyle w:val="TableBody"/>
              <w:keepNext w:val="0"/>
            </w:pPr>
            <w:r>
              <w:t>DeepSeek 网页或 App</w:t>
            </w:r>
          </w:p>
        </w:tc>
        <w:tc>
          <w:tcPr>
            <w:tcW w:type="dxa" w:w="3440"/>
            <w:vAlign w:val="center"/>
          </w:tcPr>
          <w:p>
            <w:pPr>
              <w:pStyle w:val="TableBody"/>
              <w:keepNext w:val="0"/>
            </w:pPr>
            <w:r>
              <w:t>发送消息，查看同一账号的日常聊天记录</w:t>
            </w:r>
          </w:p>
        </w:tc>
        <w:tc>
          <w:tcPr>
            <w:tcW w:type="dxa" w:w="3467"/>
            <w:vAlign w:val="center"/>
          </w:tcPr>
          <w:p>
            <w:pPr>
              <w:pStyle w:val="TableBody"/>
              <w:keepNext w:val="0"/>
            </w:pPr>
            <w:r>
              <w:t>进入产品登录界面，按页面支持的方式完成验证</w:t>
            </w:r>
          </w:p>
        </w:tc>
      </w:tr>
      <w:tr>
        <w:trPr>
          <w:cantSplit/>
        </w:trPr>
        <w:tc>
          <w:tcPr>
            <w:tcW w:type="dxa" w:w="2971"/>
            <w:vAlign w:val="center"/>
          </w:tcPr>
          <w:p>
            <w:pPr>
              <w:pStyle w:val="TableBody"/>
              <w:keepNext w:val="0"/>
            </w:pPr>
            <w:r>
              <w:t>DeepSeek Harness</w:t>
            </w:r>
          </w:p>
        </w:tc>
        <w:tc>
          <w:tcPr>
            <w:tcW w:type="dxa" w:w="3440"/>
            <w:vAlign w:val="center"/>
          </w:tcPr>
          <w:p>
            <w:pPr>
              <w:pStyle w:val="TableBody"/>
              <w:keepNext w:val="0"/>
            </w:pPr>
            <w:r>
              <w:t>选择本地工作区，调用模型、运行工具、查看文件变动</w:t>
            </w:r>
          </w:p>
        </w:tc>
        <w:tc>
          <w:tcPr>
            <w:tcW w:type="dxa" w:w="3467"/>
            <w:vAlign w:val="center"/>
          </w:tcPr>
          <w:p>
            <w:pPr>
              <w:pStyle w:val="TableBody"/>
              <w:keepNext w:val="0"/>
            </w:pPr>
            <w:r>
              <w:t>安装桌面客户端，给任务选一个目录，接通模型服务</w:t>
            </w:r>
          </w:p>
        </w:tc>
      </w:tr>
      <w:tr>
        <w:trPr>
          <w:cantSplit/>
        </w:trPr>
        <w:tc>
          <w:tcPr>
            <w:tcW w:type="dxa" w:w="2971"/>
            <w:vAlign w:val="center"/>
          </w:tcPr>
          <w:p>
            <w:pPr>
              <w:pStyle w:val="TableBody"/>
              <w:keepNext w:val="0"/>
            </w:pPr>
            <w:r>
              <w:t>DeepSeek 开放平台</w:t>
            </w:r>
          </w:p>
        </w:tc>
        <w:tc>
          <w:tcPr>
            <w:tcW w:type="dxa" w:w="3440"/>
            <w:vAlign w:val="center"/>
          </w:tcPr>
          <w:p>
            <w:pPr>
              <w:pStyle w:val="TableBody"/>
              <w:keepNext w:val="0"/>
            </w:pPr>
            <w:r>
              <w:t>管理模型 API 的密钥、可用余额和用量</w:t>
            </w:r>
          </w:p>
        </w:tc>
        <w:tc>
          <w:tcPr>
            <w:tcW w:type="dxa" w:w="3467"/>
            <w:vAlign w:val="center"/>
          </w:tcPr>
          <w:p>
            <w:pPr>
              <w:pStyle w:val="TableBody"/>
              <w:keepNext w:val="0"/>
            </w:pPr>
            <w:r>
              <w:t>仅在需要管理账目、密钥或程序接入时打开</w:t>
            </w:r>
          </w:p>
        </w:tc>
      </w:tr>
    </w:tbl>
    <w:p>
      <w:pPr>
        <w:pStyle w:val="ManuscriptMeta"/>
      </w:pPr>
      <w:r>
        <w:t>普通对话不需要去开放平台复制 API Key。如果你在日常聊天时遇到要求购买密钥的页面，先回到 DeepSeek 官网重新选择入口。</w:t>
      </w:r>
    </w:p>
    <w:p>
      <w:pPr>
        <w:pStyle w:val="Heading3"/>
      </w:pPr>
      <w:r>
        <w:t>第一次注册时怎么走</w:t>
      </w:r>
    </w:p>
    <w:p>
      <w:pPr>
        <w:pStyle w:val="Procedure"/>
        <w:numPr>
          <w:ilvl w:val="0"/>
          <w:numId w:val="10"/>
        </w:numPr>
        <w:ind w:left="461" w:hanging="461"/>
      </w:pPr>
      <w:r>
        <w:t>在官方对话页或手机 App 打开登录入口。首次使用者按页面提供的注册或登录／注册入口进入。</w:t>
      </w:r>
    </w:p>
    <w:p>
      <w:pPr>
        <w:pStyle w:val="Procedure"/>
        <w:numPr>
          <w:ilvl w:val="0"/>
          <w:numId w:val="10"/>
        </w:numPr>
        <w:ind w:left="461" w:hanging="461"/>
      </w:pPr>
      <w:r>
        <w:t>以国内手机号流程为例，填入自己的手机号，获取短信验证码，在官方页面输入。若页面要求阅读并同意相关条款，请自行阅读后决定。第三方身份方式按本机显示的选项操作。</w:t>
      </w:r>
    </w:p>
    <w:p>
      <w:pPr>
        <w:pStyle w:val="Procedure"/>
        <w:numPr>
          <w:ilvl w:val="0"/>
          <w:numId w:val="10"/>
        </w:numPr>
        <w:ind w:left="461" w:hanging="461"/>
      </w:pPr>
      <w:r>
        <w:t>进入聊天页后新建对话，发送一个简短问题。下次在开放平台或 Harness 使用同一身份登录，省去重新注册的步骤。</w:t>
      </w:r>
    </w:p>
    <w:p>
      <w:pPr>
        <w:pStyle w:val="ManuscriptMeta"/>
      </w:pPr>
      <w:r>
        <w:t>网页、App、开放平台和 Harness 使用统一的 DeepSeek 账号。统一账号不意味着普通聊天记录会出现在本地 Harness 的项目里。</w:t>
      </w:r>
    </w:p>
    <w:p>
      <w:pPr>
        <w:pStyle w:val="Heading3"/>
      </w:pPr>
      <w:r>
        <w:t>已有账号可以直接沿用</w:t>
      </w:r>
    </w:p>
    <w:p>
      <w:pPr>
        <w:pStyle w:val="Procedure"/>
        <w:numPr>
          <w:ilvl w:val="0"/>
          <w:numId w:val="11"/>
        </w:numPr>
        <w:ind w:left="461" w:hanging="461"/>
      </w:pPr>
      <w:r>
        <w:t>在官网选择对话入口，或打开官方 App 的登录页。国内手机号可按页面提示完成手机验证。已有账号请沿用上次的登录方式。</w:t>
      </w:r>
    </w:p>
    <w:p>
      <w:pPr>
        <w:pStyle w:val="Procedure"/>
        <w:numPr>
          <w:ilvl w:val="0"/>
          <w:numId w:val="11"/>
        </w:numPr>
        <w:ind w:left="461" w:hanging="461"/>
      </w:pPr>
      <w:r>
        <w:t>如果产品页面提供第三方登录，选择你关联过的身份。换用另一种身份后若看不到旧对话，先回到原来使用的登录方式核对账号。</w:t>
      </w:r>
    </w:p>
    <w:p>
      <w:pPr>
        <w:pStyle w:val="Procedure"/>
        <w:numPr>
          <w:ilvl w:val="0"/>
          <w:numId w:val="11"/>
        </w:numPr>
        <w:ind w:left="461" w:hanging="461"/>
      </w:pPr>
      <w:r>
        <w:t>进入聊天界面后，发一句测试消息并确认能看到回答。只想日常聊天，可以在这里停下。</w:t>
      </w:r>
    </w:p>
    <w:p>
      <w:pPr>
        <w:pStyle w:val="ManuscriptMeta"/>
      </w:pPr>
      <w:r>
        <w:t>登录选项会随地区、客户端和系统变化。以当前官方页面实际显示的选项为准。</w:t>
      </w:r>
    </w:p>
    <w:p>
      <w:pPr>
        <w:pStyle w:val="Heading3"/>
      </w:pPr>
      <w:r>
        <w:t>让 Harness 使用已有账号</w:t>
      </w:r>
    </w:p>
    <w:p>
      <w:r>
        <w:t>在桌面端的账号入口或设置里的账号面板，选择 DeepSeek 登录。系统会打开浏览器，在官方授权页确认当前账号，再回到 Harness 查看账号状态。浏览器第一次没有弹出来时，查看授权面板是否给出可复制的登录地址。</w:t>
      </w:r>
    </w:p>
    <w:p>
      <w:r>
        <w:t>授权后可在账号面板查看余额或使用情况。默认官方模型服务按开放平台余额结算。登录成功和账户有可用额度是两项独立检查。</w:t>
      </w:r>
    </w:p>
    <w:p>
      <w:pPr>
        <w:pStyle w:val="Heading3"/>
      </w:pPr>
      <w:r>
        <w:t>换成 API Key 接入的情况</w:t>
      </w:r>
    </w:p>
    <w:p>
      <w:r>
        <w:t>在自己的电脑上，优先使用客户端支持的账号授权即可。需要自己管理密钥，或通过远程地址访问自托管的 Harness Web UI 时，可以在模型设置里配置 API Key。</w:t>
      </w:r>
    </w:p>
    <w:p>
      <w:r>
        <w:t>账号授权与密钥都用来确认谁在调用模型。普通账号的短信验证码、第三方登录凭据和模型 API Key 各有用途，请只在对应官方入口填写。</w:t>
      </w:r>
    </w:p>
    <w:p>
      <w:pPr>
        <w:pStyle w:val="SourceLine"/>
      </w:pPr>
      <w:r>
        <w:rPr>
          <w:b/>
        </w:rPr>
        <w:t xml:space="preserve">资料出处　</w:t>
      </w:r>
      <w:hyperlink r:id="rId18">
        <w:r>
          <w:rPr>
            <w:color w:val="245A79"/>
            <w:u w:val="single"/>
          </w:rPr>
          <w:t>DeepSeek Harness 隐私政策，统一账号与模型服务</w:t>
        </w:r>
      </w:hyperlink>
      <w:r>
        <w:t xml:space="preserve">  ｜  </w:t>
      </w:r>
      <w:hyperlink r:id="rId19">
        <w:r>
          <w:rPr>
            <w:color w:val="245A79"/>
            <w:u w:val="single"/>
          </w:rPr>
          <w:t>官方源码说明，账号授权、余额与远程登录</w:t>
        </w:r>
      </w:hyperlink>
      <w:r>
        <w:t xml:space="preserve">  ｜  </w:t>
      </w:r>
      <w:hyperlink r:id="rId20">
        <w:r>
          <w:rPr>
            <w:color w:val="245A79"/>
            <w:u w:val="single"/>
          </w:rPr>
          <w:t>Harness 文档，模型提供方与密钥设置</w:t>
        </w:r>
      </w:hyperlink>
      <w:r>
        <w:t xml:space="preserve">  ｜  </w:t>
      </w:r>
      <w:hyperlink r:id="rId21">
        <w:r>
          <w:rPr>
            <w:color w:val="245A79"/>
            <w:u w:val="single"/>
          </w:rPr>
          <w:t>DeepSeek Harness 服务条款，官方模型服务与余额</w:t>
        </w:r>
      </w:hyperlink>
      <w:r>
        <w:t xml:space="preserve">  ｜  </w:t>
      </w:r>
      <w:hyperlink r:id="rId22">
        <w:r>
          <w:rPr>
            <w:color w:val="245A79"/>
            <w:u w:val="single"/>
          </w:rPr>
          <w:t>开放平台 API 入门</w:t>
        </w:r>
      </w:hyperlink>
    </w:p>
    <w:p>
      <w:pPr>
        <w:pStyle w:val="Heading2"/>
      </w:pPr>
      <w:r>
        <w:t>什么时候要 API Key，费用从哪里扣</w:t>
      </w:r>
    </w:p>
    <w:p>
      <w:pPr>
        <w:pStyle w:val="ManuscriptLead"/>
      </w:pPr>
      <w:r>
        <w:t>普通手机聊天可以直接开始。需要让 Harness 或自己的程序调用模型时，再区分服务商、登录方式和余额。</w:t>
      </w:r>
    </w:p>
    <w:p>
      <w:pPr>
        <w:pStyle w:val="Heading3"/>
      </w:pPr>
      <w:r>
        <w:t>按用法判断是否需要密钥</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3282"/>
        <w:gridCol w:w="3213"/>
        <w:gridCol w:w="3383"/>
      </w:tblGrid>
      <w:tr>
        <w:trPr>
          <w:cantSplit/>
          <w:tblHeader w:val="true"/>
        </w:trPr>
        <w:tc>
          <w:tcPr>
            <w:tcW w:type="dxa" w:w="3282"/>
            <w:vAlign w:val="center"/>
            <w:shd w:fill="DCE8EE" w:val="clear"/>
          </w:tcPr>
          <w:p>
            <w:pPr>
              <w:pStyle w:val="TableBody"/>
              <w:keepNext/>
            </w:pPr>
            <w:r>
              <w:rPr>
                <w:b/>
                <w:color w:val="000000"/>
              </w:rPr>
              <w:t>你要做什么</w:t>
            </w:r>
          </w:p>
        </w:tc>
        <w:tc>
          <w:tcPr>
            <w:tcW w:type="dxa" w:w="3213"/>
            <w:vAlign w:val="center"/>
            <w:shd w:fill="DCE8EE" w:val="clear"/>
          </w:tcPr>
          <w:p>
            <w:pPr>
              <w:pStyle w:val="TableBody"/>
              <w:keepNext/>
            </w:pPr>
            <w:r>
              <w:rPr>
                <w:b/>
                <w:color w:val="000000"/>
              </w:rPr>
              <w:t>要不要自己填 Key</w:t>
            </w:r>
          </w:p>
        </w:tc>
        <w:tc>
          <w:tcPr>
            <w:tcW w:type="dxa" w:w="3383"/>
            <w:vAlign w:val="center"/>
            <w:shd w:fill="DCE8EE" w:val="clear"/>
          </w:tcPr>
          <w:p>
            <w:pPr>
              <w:pStyle w:val="TableBody"/>
              <w:keepNext/>
            </w:pPr>
            <w:r>
              <w:rPr>
                <w:b/>
                <w:color w:val="000000"/>
              </w:rPr>
              <w:t>查哪儿的费用</w:t>
            </w:r>
          </w:p>
        </w:tc>
      </w:tr>
      <w:tr>
        <w:trPr>
          <w:cantSplit/>
        </w:trPr>
        <w:tc>
          <w:tcPr>
            <w:tcW w:type="dxa" w:w="3282"/>
            <w:vAlign w:val="center"/>
          </w:tcPr>
          <w:p>
            <w:pPr>
              <w:pStyle w:val="TableBody"/>
              <w:keepNext w:val="0"/>
            </w:pPr>
            <w:r>
              <w:t>直接打开普通 DeepSeek App 聊天</w:t>
            </w:r>
          </w:p>
        </w:tc>
        <w:tc>
          <w:tcPr>
            <w:tcW w:type="dxa" w:w="3213"/>
            <w:vAlign w:val="center"/>
          </w:tcPr>
          <w:p>
            <w:pPr>
              <w:pStyle w:val="TableBody"/>
              <w:keepNext w:val="0"/>
            </w:pPr>
            <w:r>
              <w:t>不用，直接使用日常对话账号</w:t>
            </w:r>
          </w:p>
        </w:tc>
        <w:tc>
          <w:tcPr>
            <w:tcW w:type="dxa" w:w="3383"/>
            <w:vAlign w:val="center"/>
          </w:tcPr>
          <w:p>
            <w:pPr>
              <w:pStyle w:val="TableBody"/>
              <w:keepNext w:val="0"/>
            </w:pPr>
            <w:r>
              <w:t>官方普通移动 App 免费提供，不用为一次日常提问购买 API Key</w:t>
            </w:r>
          </w:p>
        </w:tc>
      </w:tr>
      <w:tr>
        <w:trPr>
          <w:cantSplit/>
        </w:trPr>
        <w:tc>
          <w:tcPr>
            <w:tcW w:type="dxa" w:w="3282"/>
            <w:vAlign w:val="center"/>
          </w:tcPr>
          <w:p>
            <w:pPr>
              <w:pStyle w:val="TableBody"/>
              <w:keepNext w:val="0"/>
            </w:pPr>
            <w:r>
              <w:t>Harness 用 DeepSeek 官方账号授权</w:t>
            </w:r>
          </w:p>
        </w:tc>
        <w:tc>
          <w:tcPr>
            <w:tcW w:type="dxa" w:w="3213"/>
            <w:vAlign w:val="center"/>
          </w:tcPr>
          <w:p>
            <w:pPr>
              <w:pStyle w:val="TableBody"/>
              <w:keepNext w:val="0"/>
            </w:pPr>
            <w:r>
              <w:t>客户端完成账号授权时，通常不用手动抄写 Key</w:t>
            </w:r>
          </w:p>
        </w:tc>
        <w:tc>
          <w:tcPr>
            <w:tcW w:type="dxa" w:w="3383"/>
            <w:vAlign w:val="center"/>
          </w:tcPr>
          <w:p>
            <w:pPr>
              <w:pStyle w:val="TableBody"/>
              <w:keepNext w:val="0"/>
            </w:pPr>
            <w:r>
              <w:t>使用默认官方模型服务时，按开放平台规则从对应账号余额结算</w:t>
            </w:r>
          </w:p>
        </w:tc>
      </w:tr>
      <w:tr>
        <w:trPr>
          <w:cantSplit/>
        </w:trPr>
        <w:tc>
          <w:tcPr>
            <w:tcW w:type="dxa" w:w="3282"/>
            <w:vAlign w:val="center"/>
          </w:tcPr>
          <w:p>
            <w:pPr>
              <w:pStyle w:val="TableBody"/>
              <w:keepNext w:val="0"/>
            </w:pPr>
            <w:r>
              <w:t>Harness 手动接官方 API，或在程序里调模型</w:t>
            </w:r>
          </w:p>
        </w:tc>
        <w:tc>
          <w:tcPr>
            <w:tcW w:type="dxa" w:w="3213"/>
            <w:vAlign w:val="center"/>
          </w:tcPr>
          <w:p>
            <w:pPr>
              <w:pStyle w:val="TableBody"/>
              <w:keepNext w:val="0"/>
            </w:pPr>
            <w:r>
              <w:t>在开放平台管理 API Key，把密钥填到该应用的模型设置或程序的密钥环境中</w:t>
            </w:r>
          </w:p>
        </w:tc>
        <w:tc>
          <w:tcPr>
            <w:tcW w:type="dxa" w:w="3383"/>
            <w:vAlign w:val="center"/>
          </w:tcPr>
          <w:p>
            <w:pPr>
              <w:pStyle w:val="TableBody"/>
              <w:keepNext w:val="0"/>
            </w:pPr>
            <w:r>
              <w:t>看发出密钥的开放平台账号的余额和用量</w:t>
            </w:r>
          </w:p>
        </w:tc>
      </w:tr>
      <w:tr>
        <w:trPr>
          <w:cantSplit/>
        </w:trPr>
        <w:tc>
          <w:tcPr>
            <w:tcW w:type="dxa" w:w="3282"/>
            <w:vAlign w:val="center"/>
          </w:tcPr>
          <w:p>
            <w:pPr>
              <w:pStyle w:val="TableBody"/>
              <w:keepNext w:val="0"/>
            </w:pPr>
            <w:r>
              <w:t>Harness 接其他模型提供方</w:t>
            </w:r>
          </w:p>
        </w:tc>
        <w:tc>
          <w:tcPr>
            <w:tcW w:type="dxa" w:w="3213"/>
            <w:vAlign w:val="center"/>
          </w:tcPr>
          <w:p>
            <w:pPr>
              <w:pStyle w:val="TableBody"/>
              <w:keepNext w:val="0"/>
            </w:pPr>
            <w:r>
              <w:t>按你选的提供方完成配置</w:t>
            </w:r>
          </w:p>
        </w:tc>
        <w:tc>
          <w:tcPr>
            <w:tcW w:type="dxa" w:w="3383"/>
            <w:vAlign w:val="center"/>
          </w:tcPr>
          <w:p>
            <w:pPr>
              <w:pStyle w:val="TableBody"/>
              <w:keepNext w:val="0"/>
            </w:pPr>
            <w:r>
              <w:t>查那家提供方的计费规则和账单</w:t>
            </w:r>
          </w:p>
        </w:tc>
      </w:tr>
    </w:tbl>
    <w:p>
      <w:pPr>
        <w:pStyle w:val="ManuscriptMeta"/>
      </w:pPr>
      <w:r>
        <w:t>API Key 相当于允许应用用你的账号调用模型的凭证。用本地桌面客户端也可能产生模型用量。</w:t>
      </w:r>
    </w:p>
    <w:p>
      <w:pPr>
        <w:pStyle w:val="Heading3"/>
      </w:pPr>
      <w:r>
        <w:t>手动接入时按这个顺序</w:t>
      </w:r>
    </w:p>
    <w:p>
      <w:pPr>
        <w:pStyle w:val="Procedure"/>
        <w:numPr>
          <w:ilvl w:val="0"/>
          <w:numId w:val="12"/>
        </w:numPr>
        <w:ind w:left="461" w:hanging="461"/>
      </w:pPr>
      <w:r>
        <w:t>从 DeepSeek 官网进入开放平台，确认当前账号。在 API Keys 页面管理或创建供这个应用使用的密钥。</w:t>
      </w:r>
    </w:p>
    <w:p>
      <w:pPr>
        <w:pStyle w:val="Procedure"/>
        <w:numPr>
          <w:ilvl w:val="0"/>
          <w:numId w:val="12"/>
        </w:numPr>
        <w:ind w:left="461" w:hanging="461"/>
      </w:pPr>
      <w:r>
        <w:t>打开 Harness「设置 → 模型」，把密钥填入 DeepSeek 卡片并保存。不要贴在普通对话框、群聊或录屏画面中。</w:t>
      </w:r>
    </w:p>
    <w:p>
      <w:pPr>
        <w:pStyle w:val="Procedure"/>
        <w:numPr>
          <w:ilvl w:val="0"/>
          <w:numId w:val="12"/>
        </w:numPr>
        <w:ind w:left="461" w:hanging="461"/>
      </w:pPr>
      <w:r>
        <w:t>回到会话选这个提供方可用的模型。发一条简短请求，在开放平台或 Harness 账号面板核对用量。</w:t>
      </w:r>
    </w:p>
    <w:p>
      <w:pPr>
        <w:pStyle w:val="Procedure"/>
        <w:numPr>
          <w:ilvl w:val="0"/>
          <w:numId w:val="12"/>
        </w:numPr>
        <w:ind w:left="461" w:hanging="461"/>
      </w:pPr>
      <w:r>
        <w:t>如果密钥误发给别人，去原平台撤销它，再生成并替换受影响应用中的旧密钥。</w:t>
      </w:r>
    </w:p>
    <w:p>
      <w:pPr>
        <w:pStyle w:val="ManuscriptMeta"/>
      </w:pPr>
      <w:r>
        <w:t>官方模型设置文档说明保存密钥后，下次请求即可使用，无需为此重启运行中的界面。</w:t>
      </w:r>
    </w:p>
    <w:p>
      <w:pPr>
        <w:pStyle w:val="Heading3"/>
      </w:pPr>
      <w:r>
        <w:t>怎么理解按 token 收费</w:t>
      </w:r>
    </w:p>
    <w:p>
      <w:r>
        <w:t>Token 是模型对文本等内容计算用量的单位。输入包括发给模型的内容，输出是模型生成的内容。官方价目表分别列出输入缓存命中、输入缓存未命中和输出的单价，按每百万 token 显示；不宜用固定字数兑换比例估算账单。</w:t>
      </w:r>
    </w:p>
    <w:p>
      <w:r>
        <w:t>以 2026 年 11 月 3 日查询到的 deepseek-flash 单价为例，高峰时段未命中缓存的输入为每百万 token 2 元、输出为每百万 token 8 元。若输入 10,000 token 全部未命中缓存、输出 2,000 token，这次模型推理约 0.036 元。这里没有计入另项收费的工具调用。</w:t>
      </w:r>
    </w:p>
    <w:p>
      <w:r>
        <w:t>同一任务中，Agent 可能多次请求模型，还可能接着读取文件。模型、时段、输入输出量和工具使用不同，整次任务的费用也不同。开放平台有可用赠送余额时优先扣除，然后再扣充值余额。查看最新计价时注意它显示的是北京时段和具体模型。 根据官方定价公告，自 2026 年 11 月 1 日起，通过 Harness 等工具调用官方 Search 或 Fetch，也按成功请求另计，每 1,000 次 5 元。</w:t>
      </w:r>
    </w:p>
    <w:p>
      <w:pPr>
        <w:pStyle w:val="Heading3"/>
      </w:pPr>
      <w:r>
        <w:t>报错时先分清是哪一类</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3723"/>
        <w:gridCol w:w="6155"/>
      </w:tblGrid>
      <w:tr>
        <w:trPr>
          <w:cantSplit/>
          <w:tblHeader w:val="true"/>
        </w:trPr>
        <w:tc>
          <w:tcPr>
            <w:tcW w:type="dxa" w:w="3723"/>
            <w:vAlign w:val="center"/>
            <w:shd w:fill="DCE8EE" w:val="clear"/>
          </w:tcPr>
          <w:p>
            <w:pPr>
              <w:pStyle w:val="TableBody"/>
              <w:keepNext/>
            </w:pPr>
            <w:r>
              <w:rPr>
                <w:b/>
                <w:color w:val="000000"/>
              </w:rPr>
              <w:t>现象或状态码</w:t>
            </w:r>
          </w:p>
        </w:tc>
        <w:tc>
          <w:tcPr>
            <w:tcW w:type="dxa" w:w="6155"/>
            <w:vAlign w:val="center"/>
            <w:shd w:fill="DCE8EE" w:val="clear"/>
          </w:tcPr>
          <w:p>
            <w:pPr>
              <w:pStyle w:val="TableBody"/>
              <w:keepNext/>
            </w:pPr>
            <w:r>
              <w:rPr>
                <w:b/>
                <w:color w:val="000000"/>
              </w:rPr>
              <w:t>怎样处理</w:t>
            </w:r>
          </w:p>
        </w:tc>
      </w:tr>
      <w:tr>
        <w:trPr>
          <w:cantSplit/>
        </w:trPr>
        <w:tc>
          <w:tcPr>
            <w:tcW w:type="dxa" w:w="3723"/>
            <w:vAlign w:val="center"/>
          </w:tcPr>
          <w:p>
            <w:pPr>
              <w:pStyle w:val="TableBody"/>
              <w:keepNext w:val="0"/>
            </w:pPr>
            <w:r>
              <w:t>401，身份验证失败</w:t>
            </w:r>
          </w:p>
        </w:tc>
        <w:tc>
          <w:tcPr>
            <w:tcW w:type="dxa" w:w="6155"/>
            <w:vAlign w:val="center"/>
          </w:tcPr>
          <w:p>
            <w:pPr>
              <w:pStyle w:val="TableBody"/>
              <w:keepNext w:val="0"/>
            </w:pPr>
            <w:r>
              <w:t>核对所选提供方与密钥是否配套，检查密钥是否撤销、复制是否完整</w:t>
            </w:r>
          </w:p>
        </w:tc>
      </w:tr>
      <w:tr>
        <w:trPr>
          <w:cantSplit/>
        </w:trPr>
        <w:tc>
          <w:tcPr>
            <w:tcW w:type="dxa" w:w="3723"/>
            <w:vAlign w:val="center"/>
          </w:tcPr>
          <w:p>
            <w:pPr>
              <w:pStyle w:val="TableBody"/>
              <w:keepNext w:val="0"/>
            </w:pPr>
            <w:r>
              <w:t>402，余额不足</w:t>
            </w:r>
          </w:p>
        </w:tc>
        <w:tc>
          <w:tcPr>
            <w:tcW w:type="dxa" w:w="6155"/>
            <w:vAlign w:val="center"/>
          </w:tcPr>
          <w:p>
            <w:pPr>
              <w:pStyle w:val="TableBody"/>
              <w:keepNext w:val="0"/>
            </w:pPr>
            <w:r>
              <w:t>到当前提供方核对可用余额，再决定是否充值或切换已可用的服务</w:t>
            </w:r>
          </w:p>
        </w:tc>
      </w:tr>
      <w:tr>
        <w:trPr>
          <w:cantSplit/>
        </w:trPr>
        <w:tc>
          <w:tcPr>
            <w:tcW w:type="dxa" w:w="3723"/>
            <w:vAlign w:val="center"/>
          </w:tcPr>
          <w:p>
            <w:pPr>
              <w:pStyle w:val="TableBody"/>
              <w:keepNext w:val="0"/>
            </w:pPr>
            <w:r>
              <w:t>429，请求过于频繁</w:t>
            </w:r>
          </w:p>
        </w:tc>
        <w:tc>
          <w:tcPr>
            <w:tcW w:type="dxa" w:w="6155"/>
            <w:vAlign w:val="center"/>
          </w:tcPr>
          <w:p>
            <w:pPr>
              <w:pStyle w:val="TableBody"/>
              <w:keepNext w:val="0"/>
            </w:pPr>
            <w:r>
              <w:t>降低并发、等一会儿重试；反复点击发送会造成更多请求</w:t>
            </w:r>
          </w:p>
        </w:tc>
      </w:tr>
      <w:tr>
        <w:trPr>
          <w:cantSplit/>
        </w:trPr>
        <w:tc>
          <w:tcPr>
            <w:tcW w:type="dxa" w:w="3723"/>
            <w:vAlign w:val="center"/>
          </w:tcPr>
          <w:p>
            <w:pPr>
              <w:pStyle w:val="TableBody"/>
              <w:keepNext w:val="0"/>
            </w:pPr>
            <w:r>
              <w:t>账号面板暂时读取不到余额</w:t>
            </w:r>
          </w:p>
        </w:tc>
        <w:tc>
          <w:tcPr>
            <w:tcW w:type="dxa" w:w="6155"/>
            <w:vAlign w:val="center"/>
          </w:tcPr>
          <w:p>
            <w:pPr>
              <w:pStyle w:val="TableBody"/>
              <w:keepNext w:val="0"/>
            </w:pPr>
            <w:r>
              <w:t>先确认账号连接和网络后刷新。读取失败本身不能说明余额就是零</w:t>
            </w:r>
          </w:p>
        </w:tc>
      </w:tr>
    </w:tbl>
    <w:p>
      <w:pPr>
        <w:pStyle w:val="SourceLine"/>
      </w:pPr>
      <w:r>
        <w:rPr>
          <w:b/>
        </w:rPr>
        <w:t xml:space="preserve">资料出处　</w:t>
      </w:r>
      <w:hyperlink r:id="rId21">
        <w:r>
          <w:rPr>
            <w:color w:val="245A79"/>
            <w:u w:val="single"/>
          </w:rPr>
          <w:t>DeepSeek Harness 服务条款，官方模型服务与余额</w:t>
        </w:r>
      </w:hyperlink>
      <w:r>
        <w:t xml:space="preserve">  ｜  </w:t>
      </w:r>
      <w:hyperlink r:id="rId23">
        <w:r>
          <w:rPr>
            <w:color w:val="245A79"/>
            <w:u w:val="single"/>
          </w:rPr>
          <w:t>开放平台 API Keys</w:t>
        </w:r>
      </w:hyperlink>
      <w:r>
        <w:t xml:space="preserve">  ｜  </w:t>
      </w:r>
      <w:hyperlink r:id="rId22">
        <w:r>
          <w:rPr>
            <w:color w:val="245A79"/>
            <w:u w:val="single"/>
          </w:rPr>
          <w:t>开放平台 API 入门</w:t>
        </w:r>
      </w:hyperlink>
      <w:r>
        <w:t xml:space="preserve">  ｜  </w:t>
      </w:r>
      <w:hyperlink r:id="rId24">
        <w:r>
          <w:rPr>
            <w:color w:val="245A79"/>
            <w:u w:val="single"/>
          </w:rPr>
          <w:t>官方 API 模型与价格</w:t>
        </w:r>
      </w:hyperlink>
      <w:r>
        <w:t xml:space="preserve">  ｜  </w:t>
      </w:r>
      <w:hyperlink r:id="rId20">
        <w:r>
          <w:rPr>
            <w:color w:val="245A79"/>
            <w:u w:val="single"/>
          </w:rPr>
          <w:t>Harness 文档，模型提供方与密钥设置</w:t>
        </w:r>
      </w:hyperlink>
      <w:r>
        <w:t xml:space="preserve">  ｜  </w:t>
      </w:r>
      <w:hyperlink r:id="rId25">
        <w:r>
          <w:rPr>
            <w:color w:val="245A79"/>
            <w:u w:val="single"/>
          </w:rPr>
          <w:t>开放平台错误码</w:t>
        </w:r>
      </w:hyperlink>
      <w:r>
        <w:t xml:space="preserve">  ｜  </w:t>
      </w:r>
      <w:hyperlink r:id="rId26">
        <w:r>
          <w:rPr>
            <w:color w:val="245A79"/>
            <w:u w:val="single"/>
          </w:rPr>
          <w:t>开放平台搜索工具说明</w:t>
        </w:r>
      </w:hyperlink>
    </w:p>
    <w:p>
      <w:pPr>
        <w:pStyle w:val="Heading1"/>
      </w:pPr>
      <w:bookmarkStart w:id="2" w:name="part2"/>
      <w:r>
        <w:t>认识 Harness 工作台</w:t>
      </w:r>
      <w:bookmarkEnd w:id="2"/>
    </w:p>
    <w:p>
      <w:pPr>
        <w:pStyle w:val="ManuscriptLead"/>
        <w:keepNext/>
      </w:pPr>
      <w:r>
        <w:t>安装桌面端，选择模型，看懂工具记录，做出第一份文件。</w:t>
      </w:r>
    </w:p>
    <w:p>
      <w:pPr>
        <w:pStyle w:val="Heading2"/>
      </w:pPr>
      <w:r>
        <w:t>选择适合电脑的 Harness，安装并接通模型</w:t>
      </w:r>
    </w:p>
    <w:p>
      <w:pPr>
        <w:pStyle w:val="ManuscriptLead"/>
      </w:pPr>
      <w:r>
        <w:t>桌面版把同一套 Harness 工作台装进本机。先看电脑能否运行官方安装包，再选账号授权或密钥接入，两步走完后就能选择文件夹。</w:t>
      </w:r>
    </w:p>
    <w:p>
      <w:pPr>
        <w:pStyle w:val="Heading3"/>
      </w:pPr>
      <w:r>
        <w:t>下载前核对系统</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3813"/>
        <w:gridCol w:w="6065"/>
      </w:tblGrid>
      <w:tr>
        <w:trPr>
          <w:cantSplit/>
          <w:tblHeader w:val="true"/>
        </w:trPr>
        <w:tc>
          <w:tcPr>
            <w:tcW w:type="dxa" w:w="3813"/>
            <w:vAlign w:val="center"/>
            <w:shd w:fill="DCE8EE" w:val="clear"/>
          </w:tcPr>
          <w:p>
            <w:pPr>
              <w:pStyle w:val="TableBody"/>
              <w:keepNext/>
            </w:pPr>
            <w:r>
              <w:rPr>
                <w:b/>
                <w:color w:val="000000"/>
              </w:rPr>
              <w:t>设备</w:t>
            </w:r>
          </w:p>
        </w:tc>
        <w:tc>
          <w:tcPr>
            <w:tcW w:type="dxa" w:w="6065"/>
            <w:vAlign w:val="center"/>
            <w:shd w:fill="DCE8EE" w:val="clear"/>
          </w:tcPr>
          <w:p>
            <w:pPr>
              <w:pStyle w:val="TableBody"/>
              <w:keepNext/>
            </w:pPr>
            <w:r>
              <w:rPr>
                <w:b/>
                <w:color w:val="000000"/>
              </w:rPr>
              <w:t>官方提供的入口</w:t>
            </w:r>
          </w:p>
        </w:tc>
      </w:tr>
      <w:tr>
        <w:trPr>
          <w:cantSplit/>
        </w:trPr>
        <w:tc>
          <w:tcPr>
            <w:tcW w:type="dxa" w:w="3813"/>
            <w:vAlign w:val="center"/>
          </w:tcPr>
          <w:p>
            <w:pPr>
              <w:pStyle w:val="TableBody"/>
              <w:keepNext w:val="0"/>
            </w:pPr>
            <w:r>
              <w:t>配备 Apple 芯片的 Mac，macOS 13 或更新版本</w:t>
            </w:r>
          </w:p>
        </w:tc>
        <w:tc>
          <w:tcPr>
            <w:tcW w:type="dxa" w:w="6065"/>
            <w:vAlign w:val="center"/>
          </w:tcPr>
          <w:p>
            <w:pPr>
              <w:pStyle w:val="TableBody"/>
              <w:keepNext w:val="0"/>
            </w:pPr>
            <w:r>
              <w:t>在「关于本机」核对芯片和系统版本，从官方下载中心选择 macOS 安装包</w:t>
            </w:r>
          </w:p>
        </w:tc>
      </w:tr>
      <w:tr>
        <w:trPr>
          <w:cantSplit/>
        </w:trPr>
        <w:tc>
          <w:tcPr>
            <w:tcW w:type="dxa" w:w="3813"/>
            <w:vAlign w:val="center"/>
          </w:tcPr>
          <w:p>
            <w:pPr>
              <w:pStyle w:val="TableBody"/>
              <w:keepNext w:val="0"/>
            </w:pPr>
            <w:r>
              <w:t>64 位 Windows 电脑</w:t>
            </w:r>
          </w:p>
        </w:tc>
        <w:tc>
          <w:tcPr>
            <w:tcW w:type="dxa" w:w="6065"/>
            <w:vAlign w:val="center"/>
          </w:tcPr>
          <w:p>
            <w:pPr>
              <w:pStyle w:val="TableBody"/>
              <w:keepNext w:val="0"/>
            </w:pPr>
            <w:r>
              <w:t>在 Windows「设置 → 系统 → 系统信息」核对系统类型，从官方下载中心选择 Windows 安装包</w:t>
            </w:r>
          </w:p>
        </w:tc>
      </w:tr>
      <w:tr>
        <w:trPr>
          <w:cantSplit/>
        </w:trPr>
        <w:tc>
          <w:tcPr>
            <w:tcW w:type="dxa" w:w="3813"/>
            <w:vAlign w:val="center"/>
          </w:tcPr>
          <w:p>
            <w:pPr>
              <w:pStyle w:val="TableBody"/>
              <w:keepNext w:val="0"/>
            </w:pPr>
            <w:r>
              <w:t>Linux 或 Intel 芯片的 Mac</w:t>
            </w:r>
          </w:p>
        </w:tc>
        <w:tc>
          <w:tcPr>
            <w:tcW w:type="dxa" w:w="6065"/>
            <w:vAlign w:val="center"/>
          </w:tcPr>
          <w:p>
            <w:pPr>
              <w:pStyle w:val="TableBody"/>
              <w:keepNext w:val="0"/>
            </w:pPr>
            <w:r>
              <w:t>此次核对的官方下载中心没有列出对应的桌面安装包。熟悉 Node.js 的用户可查阅仓库的本地 Web UI 启动说明</w:t>
            </w:r>
          </w:p>
        </w:tc>
      </w:tr>
      <w:tr>
        <w:trPr>
          <w:cantSplit/>
        </w:trPr>
        <w:tc>
          <w:tcPr>
            <w:tcW w:type="dxa" w:w="3813"/>
            <w:vAlign w:val="center"/>
          </w:tcPr>
          <w:p>
            <w:pPr>
              <w:pStyle w:val="TableBody"/>
              <w:keepNext w:val="0"/>
            </w:pPr>
            <w:r>
              <w:t>iOS / Android</w:t>
            </w:r>
          </w:p>
        </w:tc>
        <w:tc>
          <w:tcPr>
            <w:tcW w:type="dxa" w:w="6065"/>
            <w:vAlign w:val="center"/>
          </w:tcPr>
          <w:p>
            <w:pPr>
              <w:pStyle w:val="TableBody"/>
              <w:keepNext w:val="0"/>
            </w:pPr>
            <w:r>
              <w:t>下载中心的手机选项提供 DeepSeek 日常对话 App。电脑工作区教程请在相应桌面环境操作</w:t>
            </w:r>
          </w:p>
        </w:tc>
      </w:tr>
    </w:tbl>
    <w:p>
      <w:pPr>
        <w:pStyle w:val="ManuscriptMeta"/>
      </w:pPr>
      <w:r>
        <w:t>安装包和版本说明都从 DeepSeek 官网或官方 GitHub 仓库进入。GitHub 的 RC 属于候选版，alpha 属于较早预览版。</w:t>
      </w:r>
    </w:p>
    <w:p>
      <w:pPr>
        <w:pStyle w:val="Heading3"/>
      </w:pPr>
      <w:r>
        <w:t>图形界面装好后做三件事</w:t>
      </w:r>
    </w:p>
    <w:p>
      <w:r>
        <w:t>Windows 先核对安装文件来自 DeepSeek 官方下载链接，再按该安装包的提示安装并从开始菜单启动。macOS 打开下载的安装包，若出现把应用拖到「应用程序」的窗口，按窗口提示操作，再从「应用程序」打开 DeepSeek Harness。</w:t>
      </w:r>
    </w:p>
    <w:p>
      <w:pPr>
        <w:pStyle w:val="Procedure"/>
        <w:numPr>
          <w:ilvl w:val="0"/>
          <w:numId w:val="13"/>
        </w:numPr>
        <w:ind w:left="461" w:hanging="461"/>
      </w:pPr>
      <w:r>
        <w:t>到 deepseek.com/download 选对应的桌面版本，按系统安装流程完成安装，然后打开 DeepSeek Harness。</w:t>
      </w:r>
    </w:p>
    <w:p>
      <w:pPr>
        <w:pStyle w:val="Procedure"/>
        <w:numPr>
          <w:ilvl w:val="0"/>
          <w:numId w:val="13"/>
        </w:numPr>
        <w:ind w:left="461" w:hanging="461"/>
      </w:pPr>
      <w:r>
        <w:t>从账号入口登录 DeepSeek，并在系统浏览器完成授权。如果已有能用的模型连接，可以保留当前选择。</w:t>
      </w:r>
    </w:p>
    <w:p>
      <w:pPr>
        <w:pStyle w:val="Procedure"/>
        <w:numPr>
          <w:ilvl w:val="0"/>
          <w:numId w:val="13"/>
        </w:numPr>
        <w:ind w:left="461" w:hanging="461"/>
      </w:pPr>
      <w:r>
        <w:t>回到工作台，确认当前模型和工作区。已有选中的工作区时读一下目录名；首次为空时添加一个只含本次任务材料的目录。</w:t>
      </w:r>
    </w:p>
    <w:p>
      <w:pPr>
        <w:pStyle w:val="Heading3"/>
      </w:pPr>
      <w:r>
        <w:t>两个“网页版”怎么区分</w:t>
      </w:r>
    </w:p>
    <w:p>
      <w:r>
        <w:t>chat.deepseek.com 是官方托管的日常对话服务。Harness 的“Web UI”则是连接到你启动的 Harness 服务的浏览器界面。浏览器能打开两者，但工作区、工具和费用取决于实际连接的服务。</w:t>
      </w:r>
    </w:p>
    <w:p>
      <w:r>
        <w:t>高级用户在可用的 Node.js 环境里，可以在打算工作的目录执行下方官方命令，随后打开终端显示的本地地址。常见默认地址为 http://127.0.0.1:3080。通过远程域名或反向代理访问时，官方账号授权的适用条件会变化，可用配置密钥的方式接入模型。</w:t>
      </w:r>
    </w:p>
    <w:p>
      <w:pPr>
        <w:pStyle w:val="Command"/>
      </w:pPr>
      <w:r>
        <w:t>npx @deepseek-ai/dsh web</w:t>
      </w:r>
    </w:p>
    <w:p>
      <w:pPr>
        <w:pStyle w:val="ManuscriptMeta"/>
      </w:pPr>
      <w:r>
        <w:t>如果在用官方桌面安装包，直接打开桌面应用就能继续。安装或启动本地界面也不会自动把模型权重下载到电脑上。</w:t>
      </w:r>
    </w:p>
    <w:p>
      <w:pPr>
        <w:pStyle w:val="Heading3"/>
      </w:pPr>
      <w:r>
        <w:t>“本地运行”具体指哪里</w:t>
      </w:r>
    </w:p>
    <w:p>
      <w:r>
        <w:t>本地 Harness 可以按授权读取目录、写入文件与执行工具。使用官方模型服务时，处理当前请求所需的内容会发送给模型服务；例如，交给模型分析的文件内容可能成为请求的一部分。第一次使用可以选一个单独的材料文件夹，避开私人或机密目录。</w:t>
      </w:r>
    </w:p>
    <w:p>
      <w:pPr>
        <w:pStyle w:val="SourceLine"/>
      </w:pPr>
      <w:r>
        <w:rPr>
          <w:b/>
        </w:rPr>
        <w:t xml:space="preserve">资料出处　</w:t>
      </w:r>
      <w:hyperlink r:id="rId14">
        <w:r>
          <w:rPr>
            <w:color w:val="245A79"/>
            <w:u w:val="single"/>
          </w:rPr>
          <w:t>官方下载中心</w:t>
        </w:r>
      </w:hyperlink>
      <w:r>
        <w:t xml:space="preserve">  ｜  </w:t>
      </w:r>
      <w:hyperlink r:id="rId27">
        <w:r>
          <w:rPr>
            <w:color w:val="245A79"/>
            <w:u w:val="single"/>
          </w:rPr>
          <w:t>DeepSeek Harness 官网与产品界面示意</w:t>
        </w:r>
      </w:hyperlink>
      <w:r>
        <w:t xml:space="preserve">  ｜  </w:t>
      </w:r>
      <w:hyperlink r:id="rId28">
        <w:r>
          <w:rPr>
            <w:color w:val="245A79"/>
            <w:u w:val="single"/>
          </w:rPr>
          <w:t>DeepSeek Harness 官方仓库和本地启动说明</w:t>
        </w:r>
      </w:hyperlink>
      <w:r>
        <w:t xml:space="preserve">  ｜  </w:t>
      </w:r>
      <w:hyperlink r:id="rId29">
        <w:r>
          <w:rPr>
            <w:color w:val="245A79"/>
            <w:u w:val="single"/>
          </w:rPr>
          <w:t>官方版本发布记录</w:t>
        </w:r>
      </w:hyperlink>
      <w:r>
        <w:t xml:space="preserve">  ｜  </w:t>
      </w:r>
      <w:hyperlink r:id="rId19">
        <w:r>
          <w:rPr>
            <w:color w:val="245A79"/>
            <w:u w:val="single"/>
          </w:rPr>
          <w:t>官方源码说明，账号授权、余额与远程登录</w:t>
        </w:r>
      </w:hyperlink>
      <w:r>
        <w:t xml:space="preserve">  ｜  </w:t>
      </w:r>
      <w:hyperlink r:id="rId18">
        <w:r>
          <w:rPr>
            <w:color w:val="245A79"/>
            <w:u w:val="single"/>
          </w:rPr>
          <w:t>DeepSeek Harness 隐私政策，统一账号与模型服务</w:t>
        </w:r>
      </w:hyperlink>
    </w:p>
    <w:p>
      <w:pPr>
        <w:pStyle w:val="Heading2"/>
      </w:pPr>
      <w:r>
        <w:t>读懂桌面工作台上的六个入口</w:t>
      </w:r>
    </w:p>
    <w:p>
      <w:pPr>
        <w:pStyle w:val="ManuscriptLead"/>
      </w:pPr>
      <w:r>
        <w:t>打开 Harness，先找到左边的项目和底部的输入区。你选的是哪一份文件、它能不能修改、这一步用了什么工具，都可以沿这两处往下查。</w:t>
      </w:r>
    </w:p>
    <w:p>
      <w:pPr>
        <w:pStyle w:val="Heading3"/>
      </w:pPr>
      <w:r>
        <w:t>对着示意图找位置</w:t>
      </w:r>
    </w:p>
    <w:p>
      <w:r>
        <w:t>左边用于选择工作区和会话，中央按顺序显示消息与工具动作。底部输入区旁的模型和权限控件决定本轮如何处理任务。以下是按用途重画的示意，按钮位置与文案会随版本调整。</w:t>
      </w:r>
    </w:p>
    <w:p>
      <w:pPr>
        <w:keepNext/>
        <w:spacing w:before="60" w:after="40"/>
        <w:jc w:val="center"/>
      </w:pPr>
      <w:r>
        <w:drawing>
          <wp:inline xmlns:a="http://schemas.openxmlformats.org/drawingml/2006/main" xmlns:pic="http://schemas.openxmlformats.org/drawingml/2006/picture">
            <wp:extent cx="4175695" cy="4114799"/>
            <wp:docPr id="1" name="Picture 1" descr="桌面工作台的左栏、会话时间线、输入框与权限和模型控件"/>
            <wp:cNvGraphicFramePr>
              <a:graphicFrameLocks noChangeAspect="1"/>
            </wp:cNvGraphicFramePr>
            <a:graphic>
              <a:graphicData uri="http://schemas.openxmlformats.org/drawingml/2006/picture">
                <pic:pic>
                  <pic:nvPicPr>
                    <pic:cNvPr id="0" name="desktop.png"/>
                    <pic:cNvPicPr/>
                  </pic:nvPicPr>
                  <pic:blipFill>
                    <a:blip r:embed="rId30"/>
                    <a:stretch>
                      <a:fillRect/>
                    </a:stretch>
                  </pic:blipFill>
                  <pic:spPr>
                    <a:xfrm>
                      <a:off x="0" y="0"/>
                      <a:ext cx="4175695" cy="4114799"/>
                    </a:xfrm>
                    <a:prstGeom prst="rect"/>
                  </pic:spPr>
                </pic:pic>
              </a:graphicData>
            </a:graphic>
          </wp:inline>
        </w:drawing>
      </w:r>
    </w:p>
    <w:p>
      <w:pPr>
        <w:pStyle w:val="ManuscriptMeta"/>
        <w:jc w:val="center"/>
      </w:pPr>
      <w:r>
        <w:t>图 1　原创工作台示意，参照 DeepSeek 官网页面。</w:t>
      </w:r>
    </w:p>
    <w:p>
      <w:pPr>
        <w:pStyle w:val="Heading3"/>
      </w:pPr>
      <w:r>
        <w:t>先确定接下来要操作的对象</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318"/>
        <w:gridCol w:w="3715"/>
        <w:gridCol w:w="3845"/>
      </w:tblGrid>
      <w:tr>
        <w:trPr>
          <w:cantSplit/>
          <w:tblHeader w:val="true"/>
        </w:trPr>
        <w:tc>
          <w:tcPr>
            <w:tcW w:type="dxa" w:w="2318"/>
            <w:vAlign w:val="center"/>
            <w:shd w:fill="DCE8EE" w:val="clear"/>
          </w:tcPr>
          <w:p>
            <w:pPr>
              <w:pStyle w:val="TableBody"/>
              <w:keepNext/>
            </w:pPr>
            <w:r>
              <w:rPr>
                <w:b/>
                <w:color w:val="000000"/>
              </w:rPr>
              <w:t>找什么</w:t>
            </w:r>
          </w:p>
        </w:tc>
        <w:tc>
          <w:tcPr>
            <w:tcW w:type="dxa" w:w="3715"/>
            <w:vAlign w:val="center"/>
            <w:shd w:fill="DCE8EE" w:val="clear"/>
          </w:tcPr>
          <w:p>
            <w:pPr>
              <w:pStyle w:val="TableBody"/>
              <w:keepNext/>
            </w:pPr>
            <w:r>
              <w:rPr>
                <w:b/>
                <w:color w:val="000000"/>
              </w:rPr>
              <w:t>用它做什么</w:t>
            </w:r>
          </w:p>
        </w:tc>
        <w:tc>
          <w:tcPr>
            <w:tcW w:type="dxa" w:w="3845"/>
            <w:vAlign w:val="center"/>
            <w:shd w:fill="DCE8EE" w:val="clear"/>
          </w:tcPr>
          <w:p>
            <w:pPr>
              <w:pStyle w:val="TableBody"/>
              <w:keepNext/>
            </w:pPr>
            <w:r>
              <w:rPr>
                <w:b/>
                <w:color w:val="000000"/>
              </w:rPr>
              <w:t>你可以怎样确认</w:t>
            </w:r>
          </w:p>
        </w:tc>
      </w:tr>
      <w:tr>
        <w:trPr>
          <w:cantSplit/>
        </w:trPr>
        <w:tc>
          <w:tcPr>
            <w:tcW w:type="dxa" w:w="2318"/>
            <w:vAlign w:val="center"/>
          </w:tcPr>
          <w:p>
            <w:pPr>
              <w:pStyle w:val="TableBody"/>
              <w:keepNext w:val="0"/>
            </w:pPr>
            <w:r>
              <w:t>新会话</w:t>
            </w:r>
          </w:p>
        </w:tc>
        <w:tc>
          <w:tcPr>
            <w:tcW w:type="dxa" w:w="3715"/>
            <w:vAlign w:val="center"/>
          </w:tcPr>
          <w:p>
            <w:pPr>
              <w:pStyle w:val="TableBody"/>
              <w:keepNext w:val="0"/>
            </w:pPr>
            <w:r>
              <w:t>在当前工作环境里开始另一个任务</w:t>
            </w:r>
          </w:p>
        </w:tc>
        <w:tc>
          <w:tcPr>
            <w:tcW w:type="dxa" w:w="3845"/>
            <w:vAlign w:val="center"/>
          </w:tcPr>
          <w:p>
            <w:pPr>
              <w:pStyle w:val="TableBody"/>
              <w:keepNext w:val="0"/>
            </w:pPr>
            <w:r>
              <w:t>先看已选工作区，再输入需求。换话题不会自动换目录。</w:t>
            </w:r>
          </w:p>
        </w:tc>
      </w:tr>
      <w:tr>
        <w:trPr>
          <w:cantSplit/>
        </w:trPr>
        <w:tc>
          <w:tcPr>
            <w:tcW w:type="dxa" w:w="2318"/>
            <w:vAlign w:val="center"/>
          </w:tcPr>
          <w:p>
            <w:pPr>
              <w:pStyle w:val="TableBody"/>
              <w:keepNext w:val="0"/>
            </w:pPr>
            <w:r>
              <w:t>工作区</w:t>
            </w:r>
          </w:p>
        </w:tc>
        <w:tc>
          <w:tcPr>
            <w:tcW w:type="dxa" w:w="3715"/>
            <w:vAlign w:val="center"/>
          </w:tcPr>
          <w:p>
            <w:pPr>
              <w:pStyle w:val="TableBody"/>
              <w:keepNext w:val="0"/>
            </w:pPr>
            <w:r>
              <w:t>选择这次任务从哪个本地文件夹开始</w:t>
            </w:r>
          </w:p>
        </w:tc>
        <w:tc>
          <w:tcPr>
            <w:tcW w:type="dxa" w:w="3845"/>
            <w:vAlign w:val="center"/>
          </w:tcPr>
          <w:p>
            <w:pPr>
              <w:pStyle w:val="TableBody"/>
              <w:keepNext w:val="0"/>
            </w:pPr>
            <w:r>
              <w:t>用文件管理器核对完整路径，再选项目中的文件。</w:t>
            </w:r>
          </w:p>
        </w:tc>
      </w:tr>
      <w:tr>
        <w:trPr>
          <w:cantSplit/>
        </w:trPr>
        <w:tc>
          <w:tcPr>
            <w:tcW w:type="dxa" w:w="2318"/>
            <w:vAlign w:val="center"/>
          </w:tcPr>
          <w:p>
            <w:pPr>
              <w:pStyle w:val="TableBody"/>
              <w:keepNext w:val="0"/>
            </w:pPr>
            <w:r>
              <w:t>插件和自动化任务</w:t>
            </w:r>
          </w:p>
        </w:tc>
        <w:tc>
          <w:tcPr>
            <w:tcW w:type="dxa" w:w="3715"/>
            <w:vAlign w:val="center"/>
          </w:tcPr>
          <w:p>
            <w:pPr>
              <w:pStyle w:val="TableBody"/>
              <w:keepNext w:val="0"/>
            </w:pPr>
            <w:r>
              <w:t>前者管理扩展能力，后者查看或安排重复执行的工作</w:t>
            </w:r>
          </w:p>
        </w:tc>
        <w:tc>
          <w:tcPr>
            <w:tcW w:type="dxa" w:w="3845"/>
            <w:vAlign w:val="center"/>
          </w:tcPr>
          <w:p>
            <w:pPr>
              <w:pStyle w:val="TableBody"/>
              <w:keepNext w:val="0"/>
            </w:pPr>
            <w:r>
              <w:t>初学者做单次读写，直接用普通会话即可。</w:t>
            </w:r>
          </w:p>
        </w:tc>
      </w:tr>
      <w:tr>
        <w:trPr>
          <w:cantSplit/>
        </w:trPr>
        <w:tc>
          <w:tcPr>
            <w:tcW w:type="dxa" w:w="2318"/>
            <w:vAlign w:val="center"/>
          </w:tcPr>
          <w:p>
            <w:pPr>
              <w:pStyle w:val="TableBody"/>
              <w:keepNext w:val="0"/>
            </w:pPr>
            <w:r>
              <w:t>输入框里的 / 和 @</w:t>
            </w:r>
          </w:p>
        </w:tc>
        <w:tc>
          <w:tcPr>
            <w:tcW w:type="dxa" w:w="3715"/>
            <w:vAlign w:val="center"/>
          </w:tcPr>
          <w:p>
            <w:pPr>
              <w:pStyle w:val="TableBody"/>
              <w:keepNext w:val="0"/>
            </w:pPr>
            <w:r>
              <w:t>斜杠找指令或技能，@ 可以引用界面列出的文件等内容</w:t>
            </w:r>
          </w:p>
        </w:tc>
        <w:tc>
          <w:tcPr>
            <w:tcW w:type="dxa" w:w="3845"/>
            <w:vAlign w:val="center"/>
          </w:tcPr>
          <w:p>
            <w:pPr>
              <w:pStyle w:val="TableBody"/>
              <w:keepNext w:val="0"/>
            </w:pPr>
            <w:r>
              <w:t>查看候选列表后选中一项，确认名称与当前任务吻合。</w:t>
            </w:r>
          </w:p>
        </w:tc>
      </w:tr>
      <w:tr>
        <w:trPr>
          <w:cantSplit/>
        </w:trPr>
        <w:tc>
          <w:tcPr>
            <w:tcW w:type="dxa" w:w="2318"/>
            <w:vAlign w:val="center"/>
          </w:tcPr>
          <w:p>
            <w:pPr>
              <w:pStyle w:val="TableBody"/>
              <w:keepNext w:val="0"/>
            </w:pPr>
            <w:r>
              <w:t>模型、思考强度与权限</w:t>
            </w:r>
          </w:p>
        </w:tc>
        <w:tc>
          <w:tcPr>
            <w:tcW w:type="dxa" w:w="3715"/>
            <w:vAlign w:val="center"/>
          </w:tcPr>
          <w:p>
            <w:pPr>
              <w:pStyle w:val="TableBody"/>
              <w:keepNext w:val="0"/>
            </w:pPr>
            <w:r>
              <w:t>模型影响生成，思考强度影响推理，权限影响可执行的操作</w:t>
            </w:r>
          </w:p>
        </w:tc>
        <w:tc>
          <w:tcPr>
            <w:tcW w:type="dxa" w:w="3845"/>
            <w:vAlign w:val="center"/>
          </w:tcPr>
          <w:p>
            <w:pPr>
              <w:pStyle w:val="TableBody"/>
              <w:keepNext w:val="0"/>
            </w:pPr>
            <w:r>
              <w:t>更换更强的模型不会自动给它更多文件权限。</w:t>
            </w:r>
          </w:p>
        </w:tc>
      </w:tr>
      <w:tr>
        <w:trPr>
          <w:cantSplit/>
        </w:trPr>
        <w:tc>
          <w:tcPr>
            <w:tcW w:type="dxa" w:w="2318"/>
            <w:vAlign w:val="center"/>
          </w:tcPr>
          <w:p>
            <w:pPr>
              <w:pStyle w:val="TableBody"/>
              <w:keepNext w:val="0"/>
            </w:pPr>
            <w:r>
              <w:t>工具调用与结果</w:t>
            </w:r>
          </w:p>
        </w:tc>
        <w:tc>
          <w:tcPr>
            <w:tcW w:type="dxa" w:w="3715"/>
            <w:vAlign w:val="center"/>
          </w:tcPr>
          <w:p>
            <w:pPr>
              <w:pStyle w:val="TableBody"/>
              <w:keepNext w:val="0"/>
            </w:pPr>
            <w:r>
              <w:t>展开一条工具动作，检查它实际读写了什么</w:t>
            </w:r>
          </w:p>
        </w:tc>
        <w:tc>
          <w:tcPr>
            <w:tcW w:type="dxa" w:w="3845"/>
            <w:vAlign w:val="center"/>
          </w:tcPr>
          <w:p>
            <w:pPr>
              <w:pStyle w:val="TableBody"/>
              <w:keepNext w:val="0"/>
            </w:pPr>
            <w:r>
              <w:t>对照请求参数里的路径、工具返回和磁盘上的文件。</w:t>
            </w:r>
          </w:p>
        </w:tc>
      </w:tr>
    </w:tbl>
    <w:p>
      <w:pPr>
        <w:pStyle w:val="Heading3"/>
      </w:pPr>
      <w:r>
        <w:t>会话说“完成”以后看哪里</w:t>
      </w:r>
    </w:p>
    <w:p>
      <w:pPr>
        <w:pStyle w:val="Procedure"/>
        <w:numPr>
          <w:ilvl w:val="0"/>
          <w:numId w:val="14"/>
        </w:numPr>
        <w:ind w:left="461" w:hanging="461"/>
      </w:pPr>
      <w:r>
        <w:t>找到最近一条写入或编辑动作，展开它，看目标文件名与结果。</w:t>
      </w:r>
    </w:p>
    <w:p>
      <w:pPr>
        <w:pStyle w:val="Procedure"/>
        <w:numPr>
          <w:ilvl w:val="0"/>
          <w:numId w:val="14"/>
        </w:numPr>
        <w:ind w:left="461" w:hanging="461"/>
      </w:pPr>
      <w:r>
        <w:t>回到这个工作区对应的磁盘目录，打开新文件。看到文本出现在聊天区，只能证明模型输出了文字。</w:t>
      </w:r>
    </w:p>
    <w:p>
      <w:pPr>
        <w:pStyle w:val="Procedure"/>
        <w:numPr>
          <w:ilvl w:val="0"/>
          <w:numId w:val="14"/>
        </w:numPr>
        <w:ind w:left="461" w:hanging="461"/>
      </w:pPr>
      <w:r>
        <w:t>若你找不到文件，把任务改成明确的目标名，例如“请将结果保存到当前工作区的 brief.md，并在结束时报告相对路径”。随后再次核对工具记录和磁盘。</w:t>
      </w:r>
    </w:p>
    <w:p>
      <w:pPr>
        <w:pStyle w:val="Heading3"/>
      </w:pPr>
      <w:r>
        <w:t>输入不了、答不出来或找不到文件时</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3928"/>
        <w:gridCol w:w="5950"/>
      </w:tblGrid>
      <w:tr>
        <w:trPr>
          <w:cantSplit/>
          <w:tblHeader w:val="true"/>
        </w:trPr>
        <w:tc>
          <w:tcPr>
            <w:tcW w:type="dxa" w:w="3928"/>
            <w:vAlign w:val="center"/>
            <w:shd w:fill="DCE8EE" w:val="clear"/>
          </w:tcPr>
          <w:p>
            <w:pPr>
              <w:pStyle w:val="TableBody"/>
              <w:keepNext/>
            </w:pPr>
            <w:r>
              <w:rPr>
                <w:b/>
                <w:color w:val="000000"/>
              </w:rPr>
              <w:t>看到什么</w:t>
            </w:r>
          </w:p>
        </w:tc>
        <w:tc>
          <w:tcPr>
            <w:tcW w:type="dxa" w:w="5950"/>
            <w:vAlign w:val="center"/>
            <w:shd w:fill="DCE8EE" w:val="clear"/>
          </w:tcPr>
          <w:p>
            <w:pPr>
              <w:pStyle w:val="TableBody"/>
              <w:keepNext/>
            </w:pPr>
            <w:r>
              <w:rPr>
                <w:b/>
                <w:color w:val="000000"/>
              </w:rPr>
              <w:t>先从哪里查</w:t>
            </w:r>
          </w:p>
        </w:tc>
      </w:tr>
      <w:tr>
        <w:trPr>
          <w:cantSplit/>
        </w:trPr>
        <w:tc>
          <w:tcPr>
            <w:tcW w:type="dxa" w:w="3928"/>
            <w:vAlign w:val="center"/>
          </w:tcPr>
          <w:p>
            <w:pPr>
              <w:pStyle w:val="TableBody"/>
              <w:keepNext w:val="0"/>
            </w:pPr>
            <w:r>
              <w:t>输入区不可用，且没有选中工作区</w:t>
            </w:r>
          </w:p>
        </w:tc>
        <w:tc>
          <w:tcPr>
            <w:tcW w:type="dxa" w:w="5950"/>
            <w:vAlign w:val="center"/>
          </w:tcPr>
          <w:p>
            <w:pPr>
              <w:pStyle w:val="TableBody"/>
              <w:keepNext w:val="0"/>
            </w:pPr>
            <w:r>
              <w:t>选择已有工作区，或添加一个本地目录并选中。仅打开程序不等于会话已有目录</w:t>
            </w:r>
          </w:p>
        </w:tc>
      </w:tr>
      <w:tr>
        <w:trPr>
          <w:cantSplit/>
        </w:trPr>
        <w:tc>
          <w:tcPr>
            <w:tcW w:type="dxa" w:w="3928"/>
            <w:vAlign w:val="center"/>
          </w:tcPr>
          <w:p>
            <w:pPr>
              <w:pStyle w:val="TableBody"/>
              <w:keepNext w:val="0"/>
            </w:pPr>
            <w:r>
              <w:t>有输入框，但发送后报告鉴权或余额错误</w:t>
            </w:r>
          </w:p>
        </w:tc>
        <w:tc>
          <w:tcPr>
            <w:tcW w:type="dxa" w:w="5950"/>
            <w:vAlign w:val="center"/>
          </w:tcPr>
          <w:p>
            <w:pPr>
              <w:pStyle w:val="TableBody"/>
              <w:keepNext w:val="0"/>
            </w:pPr>
            <w:r>
              <w:t>检查当前模型的账号或 Key，再看对应提供方的余额。修改后重新发送</w:t>
            </w:r>
          </w:p>
        </w:tc>
      </w:tr>
      <w:tr>
        <w:trPr>
          <w:cantSplit/>
        </w:trPr>
        <w:tc>
          <w:tcPr>
            <w:tcW w:type="dxa" w:w="3928"/>
            <w:vAlign w:val="center"/>
          </w:tcPr>
          <w:p>
            <w:pPr>
              <w:pStyle w:val="TableBody"/>
              <w:keepNext w:val="0"/>
            </w:pPr>
            <w:r>
              <w:t>文件引用候选里没有想找的材料</w:t>
            </w:r>
          </w:p>
        </w:tc>
        <w:tc>
          <w:tcPr>
            <w:tcW w:type="dxa" w:w="5950"/>
            <w:vAlign w:val="center"/>
          </w:tcPr>
          <w:p>
            <w:pPr>
              <w:pStyle w:val="TableBody"/>
              <w:keepNext w:val="0"/>
            </w:pPr>
            <w:r>
              <w:t>看工作区选的是哪一层，核对文件确实在其中，再尝试写明相对路径</w:t>
            </w:r>
          </w:p>
        </w:tc>
      </w:tr>
      <w:tr>
        <w:trPr>
          <w:cantSplit/>
        </w:trPr>
        <w:tc>
          <w:tcPr>
            <w:tcW w:type="dxa" w:w="3928"/>
            <w:vAlign w:val="center"/>
          </w:tcPr>
          <w:p>
            <w:pPr>
              <w:pStyle w:val="TableBody"/>
              <w:keepNext w:val="0"/>
            </w:pPr>
            <w:r>
              <w:t>回复说已经写完，可文件夹里没看到</w:t>
            </w:r>
          </w:p>
        </w:tc>
        <w:tc>
          <w:tcPr>
            <w:tcW w:type="dxa" w:w="5950"/>
            <w:vAlign w:val="center"/>
          </w:tcPr>
          <w:p>
            <w:pPr>
              <w:pStyle w:val="TableBody"/>
              <w:keepNext w:val="0"/>
            </w:pPr>
            <w:r>
              <w:t>查看本轮工具结果、目标路径和是否还在等确认。让它报告实际写入的位置，再到该目录核对</w:t>
            </w:r>
          </w:p>
        </w:tc>
      </w:tr>
    </w:tbl>
    <w:p>
      <w:pPr>
        <w:pStyle w:val="SourceLine"/>
      </w:pPr>
      <w:r>
        <w:rPr>
          <w:b/>
        </w:rPr>
        <w:t xml:space="preserve">资料出处　</w:t>
      </w:r>
      <w:hyperlink r:id="rId27">
        <w:r>
          <w:rPr>
            <w:color w:val="245A79"/>
            <w:u w:val="single"/>
          </w:rPr>
          <w:t>DeepSeek Harness 官方产品页与界面演示</w:t>
        </w:r>
      </w:hyperlink>
      <w:r>
        <w:t xml:space="preserve">  ｜  </w:t>
      </w:r>
      <w:hyperlink r:id="rId31">
        <w:r>
          <w:rPr>
            <w:color w:val="245A79"/>
            <w:u w:val="single"/>
          </w:rPr>
          <w:t>DeepSeek 官方安全说明</w:t>
        </w:r>
      </w:hyperlink>
      <w:r>
        <w:t xml:space="preserve">  ｜  </w:t>
      </w:r>
      <w:hyperlink r:id="rId32">
        <w:r>
          <w:rPr>
            <w:color w:val="245A79"/>
            <w:u w:val="single"/>
          </w:rPr>
          <w:t>Harness 文档，首次启动和选择工作区</w:t>
        </w:r>
      </w:hyperlink>
      <w:r>
        <w:t xml:space="preserve">  ｜  </w:t>
      </w:r>
      <w:hyperlink r:id="rId19">
        <w:r>
          <w:rPr>
            <w:color w:val="245A79"/>
            <w:u w:val="single"/>
          </w:rPr>
          <w:t>官方源码说明，账号授权、余额与远程登录</w:t>
        </w:r>
      </w:hyperlink>
    </w:p>
    <w:p>
      <w:pPr>
        <w:pStyle w:val="Heading2"/>
      </w:pPr>
      <w:r>
        <w:t>分清模型、思考强度、联网与 Agent 预设</w:t>
      </w:r>
    </w:p>
    <w:p>
      <w:pPr>
        <w:pStyle w:val="ManuscriptLead"/>
      </w:pPr>
      <w:r>
        <w:t>工作台上几个选项各管一件事。模型决定由谁理解请求，思考强度影响推理投入，联网可以补资料，Agent 预设则改变 Harness 完成任务时能用的工具组合。</w:t>
      </w:r>
    </w:p>
    <w:p>
      <w:pPr>
        <w:pStyle w:val="Heading3"/>
      </w:pPr>
      <w:r>
        <w:t>先看你使用的是哪个产品</w:t>
      </w:r>
    </w:p>
    <w:p>
      <w:r>
        <w:t>普通网页和手机 App 面向日常对话，界面会随产品升级。官方 iOS 版本记录显示，原有的快速、专家、识图模式已合并升级；旧教程中的三个入口可能已经找不到。2026 年 10 月 17 日，官方宣布网页、App 和 API 都已更新 V4.1-Flash-1017。</w:t>
      </w:r>
    </w:p>
    <w:p>
      <w:r>
        <w:t>Harness 可以连接不同模型提供方。工作台展示的模型名取决于连接和版本。日常 App 已升级，并不代表每个第三方模型连接都会随之更新。</w:t>
      </w:r>
    </w:p>
    <w:p>
      <w:pPr>
        <w:pStyle w:val="Heading3"/>
      </w:pPr>
      <w:r>
        <w:t>在 Harness 选一个能用的模型</w:t>
      </w:r>
    </w:p>
    <w:p>
      <w:pPr>
        <w:pStyle w:val="Procedure"/>
        <w:numPr>
          <w:ilvl w:val="0"/>
          <w:numId w:val="15"/>
        </w:numPr>
        <w:ind w:left="461" w:hanging="461"/>
      </w:pPr>
      <w:r>
        <w:t>先打开「设置 → 模型」。使用密钥时，在 DeepSeek 卡片填写并保存；使用已授权账号时，先确认账号状态和可用余额。</w:t>
      </w:r>
    </w:p>
    <w:p>
      <w:pPr>
        <w:pStyle w:val="Procedure"/>
        <w:numPr>
          <w:ilvl w:val="0"/>
          <w:numId w:val="15"/>
        </w:numPr>
        <w:ind w:left="461" w:hanging="461"/>
      </w:pPr>
      <w:r>
        <w:t>回到当前工作区的会话。打开输入区旁显示模型名称的控件，查看这个提供方实际可用的模型和思考选项，再选择想用的组合。</w:t>
      </w:r>
    </w:p>
    <w:p>
      <w:pPr>
        <w:pStyle w:val="Procedure"/>
        <w:numPr>
          <w:ilvl w:val="0"/>
          <w:numId w:val="15"/>
        </w:numPr>
        <w:ind w:left="461" w:hanging="461"/>
      </w:pPr>
      <w:r>
        <w:t>发一条短问题，核对能收到回复。如果模型列表没出现预期名称，先检查当前提供方、已启用模型和客户端版本，再看请求是否有鉴权或余额错误。</w:t>
      </w:r>
    </w:p>
    <w:p>
      <w:pPr>
        <w:pStyle w:val="Heading3"/>
      </w:pPr>
      <w:r>
        <w:t>模型名怎么看</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461"/>
        <w:gridCol w:w="3762"/>
        <w:gridCol w:w="3655"/>
      </w:tblGrid>
      <w:tr>
        <w:trPr>
          <w:cantSplit/>
          <w:tblHeader w:val="true"/>
        </w:trPr>
        <w:tc>
          <w:tcPr>
            <w:tcW w:type="dxa" w:w="2461"/>
            <w:vAlign w:val="center"/>
            <w:shd w:fill="DCE8EE" w:val="clear"/>
          </w:tcPr>
          <w:p>
            <w:pPr>
              <w:pStyle w:val="TableBody"/>
              <w:keepNext/>
            </w:pPr>
            <w:r>
              <w:rPr>
                <w:b/>
                <w:color w:val="000000"/>
              </w:rPr>
              <w:t>看到的名字</w:t>
            </w:r>
          </w:p>
        </w:tc>
        <w:tc>
          <w:tcPr>
            <w:tcW w:type="dxa" w:w="3762"/>
            <w:vAlign w:val="center"/>
            <w:shd w:fill="DCE8EE" w:val="clear"/>
          </w:tcPr>
          <w:p>
            <w:pPr>
              <w:pStyle w:val="TableBody"/>
              <w:keepNext/>
            </w:pPr>
            <w:r>
              <w:rPr>
                <w:b/>
                <w:color w:val="000000"/>
              </w:rPr>
              <w:t>它表示什么</w:t>
            </w:r>
          </w:p>
        </w:tc>
        <w:tc>
          <w:tcPr>
            <w:tcW w:type="dxa" w:w="3655"/>
            <w:vAlign w:val="center"/>
            <w:shd w:fill="DCE8EE" w:val="clear"/>
          </w:tcPr>
          <w:p>
            <w:pPr>
              <w:pStyle w:val="TableBody"/>
              <w:keepNext/>
            </w:pPr>
            <w:r>
              <w:rPr>
                <w:b/>
                <w:color w:val="000000"/>
              </w:rPr>
              <w:t>适用范围</w:t>
            </w:r>
          </w:p>
        </w:tc>
      </w:tr>
      <w:tr>
        <w:trPr>
          <w:cantSplit/>
        </w:trPr>
        <w:tc>
          <w:tcPr>
            <w:tcW w:type="dxa" w:w="2461"/>
            <w:vAlign w:val="center"/>
          </w:tcPr>
          <w:p>
            <w:pPr>
              <w:pStyle w:val="TableBody"/>
              <w:keepNext w:val="0"/>
            </w:pPr>
            <w:r>
              <w:t>deepseek-flash</w:t>
            </w:r>
          </w:p>
        </w:tc>
        <w:tc>
          <w:tcPr>
            <w:tcW w:type="dxa" w:w="3762"/>
            <w:vAlign w:val="center"/>
          </w:tcPr>
          <w:p>
            <w:pPr>
              <w:pStyle w:val="TableBody"/>
              <w:keepNext w:val="0"/>
            </w:pPr>
            <w:r>
              <w:t>开放平台在本次核对时指向 DeepSeek-V4.1-Flash-1017，接受文本和图像输入</w:t>
            </w:r>
          </w:p>
        </w:tc>
        <w:tc>
          <w:tcPr>
            <w:tcW w:type="dxa" w:w="3655"/>
            <w:vAlign w:val="center"/>
          </w:tcPr>
          <w:p>
            <w:pPr>
              <w:pStyle w:val="TableBody"/>
              <w:keepNext w:val="0"/>
            </w:pPr>
            <w:r>
              <w:t>写给程序或在模型设置中识别；日常 App 界面可采用其他显示名称</w:t>
            </w:r>
          </w:p>
        </w:tc>
      </w:tr>
      <w:tr>
        <w:trPr>
          <w:cantSplit/>
        </w:trPr>
        <w:tc>
          <w:tcPr>
            <w:tcW w:type="dxa" w:w="2461"/>
            <w:vAlign w:val="center"/>
          </w:tcPr>
          <w:p>
            <w:pPr>
              <w:pStyle w:val="TableBody"/>
              <w:keepNext w:val="0"/>
            </w:pPr>
            <w:r>
              <w:t>deepseek-v4-pro</w:t>
            </w:r>
          </w:p>
        </w:tc>
        <w:tc>
          <w:tcPr>
            <w:tcW w:type="dxa" w:w="3762"/>
            <w:vAlign w:val="center"/>
          </w:tcPr>
          <w:p>
            <w:pPr>
              <w:pStyle w:val="TableBody"/>
              <w:keepNext w:val="0"/>
            </w:pPr>
            <w:r>
              <w:t>当前官方价目表列为 DeepSeek-V4-Pro-0813，接受文本输入</w:t>
            </w:r>
          </w:p>
        </w:tc>
        <w:tc>
          <w:tcPr>
            <w:tcW w:type="dxa" w:w="3655"/>
            <w:vAlign w:val="center"/>
          </w:tcPr>
          <w:p>
            <w:pPr>
              <w:pStyle w:val="TableBody"/>
              <w:keepNext w:val="0"/>
            </w:pPr>
            <w:r>
              <w:t>开放平台仍支持这个模型。需要分析图像时选支持图像输入的模型</w:t>
            </w:r>
          </w:p>
        </w:tc>
      </w:tr>
      <w:tr>
        <w:trPr>
          <w:cantSplit/>
        </w:trPr>
        <w:tc>
          <w:tcPr>
            <w:tcW w:type="dxa" w:w="2461"/>
            <w:vAlign w:val="center"/>
          </w:tcPr>
          <w:p>
            <w:pPr>
              <w:pStyle w:val="TableBody"/>
              <w:keepNext w:val="0"/>
            </w:pPr>
            <w:r>
              <w:t>其他提供方或自托管名称</w:t>
            </w:r>
          </w:p>
        </w:tc>
        <w:tc>
          <w:tcPr>
            <w:tcW w:type="dxa" w:w="3762"/>
            <w:vAlign w:val="center"/>
          </w:tcPr>
          <w:p>
            <w:pPr>
              <w:pStyle w:val="TableBody"/>
              <w:keepNext w:val="0"/>
            </w:pPr>
            <w:r>
              <w:t>由你在 Harness 中配置的服务提供</w:t>
            </w:r>
          </w:p>
        </w:tc>
        <w:tc>
          <w:tcPr>
            <w:tcW w:type="dxa" w:w="3655"/>
            <w:vAlign w:val="center"/>
          </w:tcPr>
          <w:p>
            <w:pPr>
              <w:pStyle w:val="TableBody"/>
              <w:keepNext w:val="0"/>
            </w:pPr>
            <w:r>
              <w:t>先看服务端实际返回的模型和能力，不能直接套用 DeepSeek 官方价目表</w:t>
            </w:r>
          </w:p>
        </w:tc>
      </w:tr>
    </w:tbl>
    <w:p>
      <w:pPr>
        <w:pStyle w:val="ManuscriptMeta"/>
      </w:pPr>
      <w:r>
        <w:t>模型别名可能随新版本指向新的实际模型。这里记录的是 2026 年 11 月 3 日查到的映射。</w:t>
      </w:r>
    </w:p>
    <w:p>
      <w:pPr>
        <w:pStyle w:val="Heading3"/>
      </w:pPr>
      <w:r>
        <w:t>什么时候调思考、什么时候用联网</w:t>
      </w:r>
    </w:p>
    <w:p>
      <w:r>
        <w:t>整理短通知，先用默认选项。若要同时考虑多项条件，例如安排冲突、费用和候补时间，可以再增加思考投入。官方 API 文档把思考开关与强度分开，并列出 low、high、max，不同界面、模型、版本展示的选项可能不同。</w:t>
      </w:r>
    </w:p>
    <w:p>
      <w:r>
        <w:t>要确认今天有没有新公告，要查发布日期和原文，使用联网搜索并核查来源。提高思考强度可以帮助分析，但不会自行提供你没给它的最新公告。</w:t>
      </w:r>
    </w:p>
    <w:p>
      <w:pPr>
        <w:pStyle w:val="Heading3"/>
      </w:pPr>
      <w:r>
        <w:t>Standard、PTC、Minimal、Creator 是什么</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3660"/>
        <w:gridCol w:w="6219"/>
      </w:tblGrid>
      <w:tr>
        <w:trPr>
          <w:cantSplit/>
          <w:tblHeader w:val="true"/>
        </w:trPr>
        <w:tc>
          <w:tcPr>
            <w:tcW w:type="dxa" w:w="3660"/>
            <w:vAlign w:val="center"/>
            <w:shd w:fill="DCE8EE" w:val="clear"/>
          </w:tcPr>
          <w:p>
            <w:pPr>
              <w:pStyle w:val="TableBody"/>
              <w:keepNext/>
            </w:pPr>
            <w:r>
              <w:rPr>
                <w:b/>
                <w:color w:val="000000"/>
              </w:rPr>
              <w:t>预设</w:t>
            </w:r>
          </w:p>
        </w:tc>
        <w:tc>
          <w:tcPr>
            <w:tcW w:type="dxa" w:w="6219"/>
            <w:vAlign w:val="center"/>
            <w:shd w:fill="DCE8EE" w:val="clear"/>
          </w:tcPr>
          <w:p>
            <w:pPr>
              <w:pStyle w:val="TableBody"/>
              <w:keepNext/>
            </w:pPr>
            <w:r>
              <w:rPr>
                <w:b/>
                <w:color w:val="000000"/>
              </w:rPr>
              <w:t>改变的工作方式</w:t>
            </w:r>
          </w:p>
        </w:tc>
      </w:tr>
      <w:tr>
        <w:trPr>
          <w:cantSplit/>
        </w:trPr>
        <w:tc>
          <w:tcPr>
            <w:tcW w:type="dxa" w:w="3660"/>
            <w:vAlign w:val="center"/>
          </w:tcPr>
          <w:p>
            <w:pPr>
              <w:pStyle w:val="TableBody"/>
              <w:keepNext w:val="0"/>
            </w:pPr>
            <w:r>
              <w:t>标准模式（Standard）</w:t>
            </w:r>
          </w:p>
        </w:tc>
        <w:tc>
          <w:tcPr>
            <w:tcW w:type="dxa" w:w="6219"/>
            <w:vAlign w:val="center"/>
          </w:tcPr>
          <w:p>
            <w:pPr>
              <w:pStyle w:val="TableBody"/>
              <w:keepNext w:val="0"/>
            </w:pPr>
            <w:r>
              <w:t>官方介绍中的通用工具组合，适合从普通文件任务开始</w:t>
            </w:r>
          </w:p>
        </w:tc>
      </w:tr>
      <w:tr>
        <w:trPr>
          <w:cantSplit/>
        </w:trPr>
        <w:tc>
          <w:tcPr>
            <w:tcW w:type="dxa" w:w="3660"/>
            <w:vAlign w:val="center"/>
          </w:tcPr>
          <w:p>
            <w:pPr>
              <w:pStyle w:val="TableBody"/>
              <w:keepNext w:val="0"/>
            </w:pPr>
            <w:r>
              <w:t>PTC 模式</w:t>
            </w:r>
          </w:p>
        </w:tc>
        <w:tc>
          <w:tcPr>
            <w:tcW w:type="dxa" w:w="6219"/>
            <w:vAlign w:val="center"/>
          </w:tcPr>
          <w:p>
            <w:pPr>
              <w:pStyle w:val="TableBody"/>
              <w:keepNext w:val="0"/>
            </w:pPr>
            <w:r>
              <w:t>让 Agent 通过 TypeScript 代码组合多次工具调用，适合熟悉工具编排的人</w:t>
            </w:r>
          </w:p>
        </w:tc>
      </w:tr>
      <w:tr>
        <w:trPr>
          <w:cantSplit/>
        </w:trPr>
        <w:tc>
          <w:tcPr>
            <w:tcW w:type="dxa" w:w="3660"/>
            <w:vAlign w:val="center"/>
          </w:tcPr>
          <w:p>
            <w:pPr>
              <w:pStyle w:val="TableBody"/>
              <w:keepNext w:val="0"/>
            </w:pPr>
            <w:r>
              <w:t>极简模式（Minimal）</w:t>
            </w:r>
          </w:p>
        </w:tc>
        <w:tc>
          <w:tcPr>
            <w:tcW w:type="dxa" w:w="6219"/>
            <w:vAlign w:val="center"/>
          </w:tcPr>
          <w:p>
            <w:pPr>
              <w:pStyle w:val="TableBody"/>
              <w:keepNext w:val="0"/>
            </w:pPr>
            <w:r>
              <w:t>将工具收窄为持久 shell 和文件编辑器，适合在最小环境中做开发评估</w:t>
            </w:r>
          </w:p>
        </w:tc>
      </w:tr>
      <w:tr>
        <w:trPr>
          <w:cantSplit/>
        </w:trPr>
        <w:tc>
          <w:tcPr>
            <w:tcW w:type="dxa" w:w="3660"/>
            <w:vAlign w:val="center"/>
          </w:tcPr>
          <w:p>
            <w:pPr>
              <w:pStyle w:val="TableBody"/>
              <w:keepNext w:val="0"/>
            </w:pPr>
            <w:r>
              <w:t>创造模式（Creator）</w:t>
            </w:r>
          </w:p>
        </w:tc>
        <w:tc>
          <w:tcPr>
            <w:tcW w:type="dxa" w:w="6219"/>
            <w:vAlign w:val="center"/>
          </w:tcPr>
          <w:p>
            <w:pPr>
              <w:pStyle w:val="TableBody"/>
              <w:keepNext w:val="0"/>
            </w:pPr>
            <w:r>
              <w:t>围绕创建或组合插件、Agent 预设等扩展能力工作</w:t>
            </w:r>
          </w:p>
        </w:tc>
      </w:tr>
    </w:tbl>
    <w:p>
      <w:pPr>
        <w:pStyle w:val="ManuscriptMeta"/>
      </w:pPr>
      <w:r>
        <w:t>这张表解释早期技术介绍与课件里的术语。当前桌面产品公开展示创造模式，另外三项是否出现在你的选择器取决于版本和已装预设；初学者不需要装回旧版来寻找四个按钮。</w:t>
      </w:r>
    </w:p>
    <w:p>
      <w:pPr>
        <w:pStyle w:val="SourceLine"/>
      </w:pPr>
      <w:r>
        <w:rPr>
          <w:b/>
        </w:rPr>
        <w:t xml:space="preserve">资料出处　</w:t>
      </w:r>
      <w:hyperlink r:id="rId15">
        <w:r>
          <w:rPr>
            <w:color w:val="245A79"/>
            <w:u w:val="single"/>
          </w:rPr>
          <w:t>中国区 App Store 产品与版本记录</w:t>
        </w:r>
      </w:hyperlink>
      <w:r>
        <w:t xml:space="preserve">  ｜  </w:t>
      </w:r>
      <w:hyperlink r:id="rId33">
        <w:r>
          <w:rPr>
            <w:color w:val="245A79"/>
            <w:u w:val="single"/>
          </w:rPr>
          <w:t>V4.1-Flash-1017 官方更新</w:t>
        </w:r>
      </w:hyperlink>
      <w:r>
        <w:t xml:space="preserve">  ｜  </w:t>
      </w:r>
      <w:hyperlink r:id="rId24">
        <w:r>
          <w:rPr>
            <w:color w:val="245A79"/>
            <w:u w:val="single"/>
          </w:rPr>
          <w:t>官方 API 模型与价格</w:t>
        </w:r>
      </w:hyperlink>
      <w:r>
        <w:t xml:space="preserve">  ｜  </w:t>
      </w:r>
      <w:hyperlink r:id="rId34">
        <w:r>
          <w:rPr>
            <w:color w:val="245A79"/>
            <w:u w:val="single"/>
          </w:rPr>
          <w:t>官方 API 思考模式说明</w:t>
        </w:r>
      </w:hyperlink>
      <w:r>
        <w:t xml:space="preserve">  ｜  </w:t>
      </w:r>
      <w:hyperlink r:id="rId35">
        <w:r>
          <w:rPr>
            <w:color w:val="245A79"/>
            <w:u w:val="single"/>
          </w:rPr>
          <w:t>Harness 官方技术介绍与预设</w:t>
        </w:r>
      </w:hyperlink>
      <w:r>
        <w:t xml:space="preserve">  ｜  </w:t>
      </w:r>
      <w:hyperlink r:id="rId36">
        <w:r>
          <w:rPr>
            <w:color w:val="245A79"/>
            <w:u w:val="single"/>
          </w:rPr>
          <w:t>开放平台更新日志</w:t>
        </w:r>
      </w:hyperlink>
    </w:p>
    <w:p>
      <w:pPr>
        <w:pStyle w:val="Heading2"/>
      </w:pPr>
      <w:r>
        <w:t>动手做出第一份会议简报</w:t>
      </w:r>
    </w:p>
    <w:p>
      <w:pPr>
        <w:pStyle w:val="ManuscriptLead"/>
      </w:pPr>
      <w:r>
        <w:t>用同一段虚构会议记录做两轮实验。第一轮只读材料，第二轮在工作区里新建 brief.md。最后打开文件，核对时间、负责人和一个尚未决定的问题。</w:t>
      </w:r>
    </w:p>
    <w:p>
      <w:pPr>
        <w:pStyle w:val="Heading3"/>
      </w:pPr>
      <w:r>
        <w:t>解压素材，只选 project</w:t>
      </w:r>
    </w:p>
    <w:p>
      <w:pPr>
        <w:pStyle w:val="Procedure"/>
        <w:numPr>
          <w:ilvl w:val="0"/>
          <w:numId w:val="16"/>
        </w:numPr>
        <w:ind w:left="461" w:hanging="461"/>
      </w:pPr>
      <w:r>
        <w:t>下载本站配套实验包 harness-lab.zip，完整解压到个人文档下一个新文件夹，放在现有 Git 项目和系统临时目录之外。</w:t>
      </w:r>
    </w:p>
    <w:p>
      <w:pPr>
        <w:pStyle w:val="Procedure"/>
        <w:numPr>
          <w:ilvl w:val="0"/>
          <w:numId w:val="16"/>
        </w:numPr>
        <w:ind w:left="461" w:hanging="461"/>
      </w:pPr>
      <w:r>
        <w:t>展开 harness-lab，找到 project、outside、skill-source 和 reference。把 project 添加到 Harness 的工作区。project 起初只有 meeting.txt。</w:t>
      </w:r>
    </w:p>
    <w:p>
      <w:pPr>
        <w:pStyle w:val="Procedure"/>
        <w:numPr>
          <w:ilvl w:val="0"/>
          <w:numId w:val="16"/>
        </w:numPr>
        <w:ind w:left="461" w:hanging="461"/>
      </w:pPr>
      <w:r>
        <w:t>确认已配置能调用的模型，在这个项目里新建会话。记录系统、客户端版本和模型，这样同伴才知道自己的结果能否直接对比。</w:t>
      </w:r>
    </w:p>
    <w:p>
      <w:pPr>
        <w:pStyle w:val="Heading3"/>
      </w:pPr>
      <w:r>
        <w:t>第一轮先读，不写文件</w:t>
      </w:r>
    </w:p>
    <w:p>
      <w:r>
        <w:t>将当前会话设为「仅可查看」。复制下面一句，然后展开工具记录，确认它读了 meeting.txt。若只给出泛泛的会议模板，先确认文件是否在当前工作区。</w:t>
      </w:r>
    </w:p>
    <w:p>
      <w:pPr>
        <w:pStyle w:val="Command"/>
      </w:pPr>
      <w:r>
        <w:t>请读取 meeting.txt，列出会议已经决定的事、明确的待办、仍待确认的事。每项只用原文能支持的信息。这一轮只在对话里回答。</w:t>
      </w:r>
    </w:p>
    <w:p>
      <w:pPr>
        <w:pStyle w:val="Heading3"/>
      </w:pPr>
      <w:r>
        <w:t>第二轮将结果写进工作区</w:t>
      </w:r>
    </w:p>
    <w:p>
      <w:r>
        <w:t>将当前会话切到「工作区内修改」，再发下面一句。遇到权限询问，先核对具体动作和文件名。这项任务只需要在 project 里新建一个文件。</w:t>
      </w:r>
    </w:p>
    <w:p>
      <w:pPr>
        <w:pStyle w:val="Command"/>
      </w:pPr>
      <w:r>
        <w:t>请把上一轮的整理结果保存为当前工作区的 brief.md，使用“决定”“待办”“待确认”三个标题。保留 meeting.txt 原文。完成后告诉我文件名。</w:t>
      </w:r>
    </w:p>
    <w:p>
      <w:pPr>
        <w:keepNext/>
        <w:spacing w:before="60" w:after="40"/>
        <w:jc w:val="center"/>
      </w:pPr>
      <w:r>
        <w:drawing>
          <wp:inline xmlns:a="http://schemas.openxmlformats.org/drawingml/2006/main" xmlns:pic="http://schemas.openxmlformats.org/drawingml/2006/picture">
            <wp:extent cx="4691458" cy="4114800"/>
            <wp:docPr id="2" name="Picture 2" descr="从用户需求、工具请求和权限检查到实际文件的过程"/>
            <wp:cNvGraphicFramePr>
              <a:graphicFrameLocks noChangeAspect="1"/>
            </wp:cNvGraphicFramePr>
            <a:graphic>
              <a:graphicData uri="http://schemas.openxmlformats.org/drawingml/2006/picture">
                <pic:pic>
                  <pic:nvPicPr>
                    <pic:cNvPr id="0" name="flow.png"/>
                    <pic:cNvPicPr/>
                  </pic:nvPicPr>
                  <pic:blipFill>
                    <a:blip r:embed="rId37"/>
                    <a:stretch>
                      <a:fillRect/>
                    </a:stretch>
                  </pic:blipFill>
                  <pic:spPr>
                    <a:xfrm>
                      <a:off x="0" y="0"/>
                      <a:ext cx="4691458" cy="4114800"/>
                    </a:xfrm>
                    <a:prstGeom prst="rect"/>
                  </pic:spPr>
                </pic:pic>
              </a:graphicData>
            </a:graphic>
          </wp:inline>
        </w:drawing>
      </w:r>
    </w:p>
    <w:p>
      <w:pPr>
        <w:pStyle w:val="ManuscriptMeta"/>
        <w:jc w:val="center"/>
      </w:pPr>
      <w:r>
        <w:t>图 2　模型生成文字之后，还要通过工具才能把内容写到磁盘。</w:t>
      </w:r>
    </w:p>
    <w:p>
      <w:pPr>
        <w:pStyle w:val="Heading3"/>
      </w:pPr>
      <w:r>
        <w:t>打开文件，自己验收</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3324"/>
        <w:gridCol w:w="6555"/>
      </w:tblGrid>
      <w:tr>
        <w:trPr>
          <w:cantSplit/>
          <w:tblHeader w:val="true"/>
        </w:trPr>
        <w:tc>
          <w:tcPr>
            <w:tcW w:type="dxa" w:w="3324"/>
            <w:vAlign w:val="center"/>
            <w:shd w:fill="DCE8EE" w:val="clear"/>
          </w:tcPr>
          <w:p>
            <w:pPr>
              <w:pStyle w:val="TableBody"/>
              <w:keepNext/>
            </w:pPr>
            <w:r>
              <w:rPr>
                <w:b/>
                <w:color w:val="000000"/>
              </w:rPr>
              <w:t>检查位置</w:t>
            </w:r>
          </w:p>
        </w:tc>
        <w:tc>
          <w:tcPr>
            <w:tcW w:type="dxa" w:w="6555"/>
            <w:vAlign w:val="center"/>
            <w:shd w:fill="DCE8EE" w:val="clear"/>
          </w:tcPr>
          <w:p>
            <w:pPr>
              <w:pStyle w:val="TableBody"/>
              <w:keepNext/>
            </w:pPr>
            <w:r>
              <w:rPr>
                <w:b/>
                <w:color w:val="000000"/>
              </w:rPr>
              <w:t>合格的内容</w:t>
            </w:r>
          </w:p>
        </w:tc>
      </w:tr>
      <w:tr>
        <w:trPr>
          <w:cantSplit/>
        </w:trPr>
        <w:tc>
          <w:tcPr>
            <w:tcW w:type="dxa" w:w="3324"/>
            <w:vAlign w:val="center"/>
          </w:tcPr>
          <w:p>
            <w:pPr>
              <w:pStyle w:val="TableBody"/>
              <w:keepNext w:val="0"/>
            </w:pPr>
            <w:r>
              <w:t>决定</w:t>
            </w:r>
          </w:p>
        </w:tc>
        <w:tc>
          <w:tcPr>
            <w:tcW w:type="dxa" w:w="6555"/>
            <w:vAlign w:val="center"/>
          </w:tcPr>
          <w:p>
            <w:pPr>
              <w:pStyle w:val="TableBody"/>
              <w:keepNext w:val="0"/>
            </w:pPr>
            <w:r>
              <w:t>内测定于 11 月 12 日 14:00。</w:t>
            </w:r>
          </w:p>
        </w:tc>
      </w:tr>
      <w:tr>
        <w:trPr>
          <w:cantSplit/>
        </w:trPr>
        <w:tc>
          <w:tcPr>
            <w:tcW w:type="dxa" w:w="3324"/>
            <w:vAlign w:val="center"/>
          </w:tcPr>
          <w:p>
            <w:pPr>
              <w:pStyle w:val="TableBody"/>
              <w:keepNext w:val="0"/>
            </w:pPr>
            <w:r>
              <w:t>待办</w:t>
            </w:r>
          </w:p>
        </w:tc>
        <w:tc>
          <w:tcPr>
            <w:tcW w:type="dxa" w:w="6555"/>
            <w:vAlign w:val="center"/>
          </w:tcPr>
          <w:p>
            <w:pPr>
              <w:pStyle w:val="TableBody"/>
              <w:keepNext w:val="0"/>
            </w:pPr>
            <w:r>
              <w:t>林舟在 11 月 8 日前修改报名页。</w:t>
            </w:r>
          </w:p>
        </w:tc>
      </w:tr>
      <w:tr>
        <w:trPr>
          <w:cantSplit/>
        </w:trPr>
        <w:tc>
          <w:tcPr>
            <w:tcW w:type="dxa" w:w="3324"/>
            <w:vAlign w:val="center"/>
          </w:tcPr>
          <w:p>
            <w:pPr>
              <w:pStyle w:val="TableBody"/>
              <w:keepNext w:val="0"/>
            </w:pPr>
            <w:r>
              <w:t>待确认</w:t>
            </w:r>
          </w:p>
        </w:tc>
        <w:tc>
          <w:tcPr>
            <w:tcW w:type="dxa" w:w="6555"/>
            <w:vAlign w:val="center"/>
          </w:tcPr>
          <w:p>
            <w:pPr>
              <w:pStyle w:val="TableBody"/>
              <w:keepNext w:val="0"/>
            </w:pPr>
            <w:r>
              <w:t>体验名额尚未确定。出现具体名额或虚构的负责人，需要回到原文修改。</w:t>
            </w:r>
          </w:p>
        </w:tc>
      </w:tr>
      <w:tr>
        <w:trPr>
          <w:cantSplit/>
        </w:trPr>
        <w:tc>
          <w:tcPr>
            <w:tcW w:type="dxa" w:w="3324"/>
            <w:vAlign w:val="center"/>
          </w:tcPr>
          <w:p>
            <w:pPr>
              <w:pStyle w:val="TableBody"/>
              <w:keepNext w:val="0"/>
            </w:pPr>
            <w:r>
              <w:t>磁盘</w:t>
            </w:r>
          </w:p>
        </w:tc>
        <w:tc>
          <w:tcPr>
            <w:tcW w:type="dxa" w:w="6555"/>
            <w:vAlign w:val="center"/>
          </w:tcPr>
          <w:p>
            <w:pPr>
              <w:pStyle w:val="TableBody"/>
              <w:keepNext w:val="0"/>
            </w:pPr>
            <w:r>
              <w:t>brief.md 与 meeting.txt 在同一目录，原文件还在。</w:t>
            </w:r>
          </w:p>
        </w:tc>
      </w:tr>
    </w:tbl>
    <w:p>
      <w:pPr>
        <w:pStyle w:val="ManuscriptMeta"/>
      </w:pPr>
      <w:r>
        <w:t>reference/brief.md 是按原文人工编写的核对样张。模型输出可以换措辞，事实必须一致。第一次录制从新解压的副本开始，生成前后两个画面才可区分。</w:t>
      </w:r>
    </w:p>
    <w:p>
      <w:pPr>
        <w:pStyle w:val="SourceLine"/>
      </w:pPr>
      <w:r>
        <w:rPr>
          <w:b/>
        </w:rPr>
        <w:t xml:space="preserve">资料出处　</w:t>
      </w:r>
      <w:hyperlink r:id="rId27">
        <w:r>
          <w:rPr>
            <w:color w:val="245A79"/>
            <w:u w:val="single"/>
          </w:rPr>
          <w:t>DeepSeek Harness 官方产品页与界面演示</w:t>
        </w:r>
      </w:hyperlink>
    </w:p>
    <w:p>
      <w:pPr>
        <w:pStyle w:val="Heading1"/>
      </w:pPr>
      <w:bookmarkStart w:id="3" w:name="part3"/>
      <w:r>
        <w:t>Skills 与文件权限</w:t>
      </w:r>
      <w:bookmarkEnd w:id="3"/>
    </w:p>
    <w:p>
      <w:pPr>
        <w:pStyle w:val="ManuscriptLead"/>
        <w:keepNext/>
      </w:pPr>
      <w:r>
        <w:t>查看技能的安装位置，核对当前工作区和读写边界。</w:t>
      </w:r>
    </w:p>
    <w:p>
      <w:pPr>
        <w:pStyle w:val="Heading2"/>
      </w:pPr>
      <w:r>
        <w:t>安装第一个 Skill 并在会话里调用</w:t>
      </w:r>
    </w:p>
    <w:p>
      <w:pPr>
        <w:pStyle w:val="ManuscriptLead"/>
      </w:pPr>
      <w:r>
        <w:t>如果每次整理会议都要交代同一套格式，可以把规则保存为技能。装好以后，对话里写一次 /meeting-brief，就能让 Harness 带着这套规则读文件。</w:t>
      </w:r>
    </w:p>
    <w:p>
      <w:pPr>
        <w:pStyle w:val="Heading3"/>
      </w:pPr>
      <w:r>
        <w:t>把源文件夹复制到正确位置</w:t>
      </w:r>
    </w:p>
    <w:p>
      <w:pPr>
        <w:pStyle w:val="Procedure"/>
        <w:numPr>
          <w:ilvl w:val="0"/>
          <w:numId w:val="17"/>
        </w:numPr>
        <w:ind w:left="461" w:hanging="461"/>
      </w:pPr>
      <w:r>
        <w:t>解压配套实验包。根目录包含 project 和 skill-source，后者里面有 meeting-brief 文件夹。打开 meeting-brief 应直接看到 SKILL.md。</w:t>
      </w:r>
    </w:p>
    <w:p>
      <w:pPr>
        <w:pStyle w:val="Procedure"/>
        <w:numPr>
          <w:ilvl w:val="0"/>
          <w:numId w:val="17"/>
        </w:numPr>
        <w:ind w:left="461" w:hanging="461"/>
      </w:pPr>
      <w:r>
        <w:t>选择实验包里的 project 作为 Harness 工作区，确认里面有 meeting.txt。把练习包放在现有 Git 仓库之外，避免技能根目录被解析到上层仓库。</w:t>
      </w:r>
    </w:p>
    <w:p>
      <w:pPr>
        <w:pStyle w:val="Procedure"/>
        <w:numPr>
          <w:ilvl w:val="0"/>
          <w:numId w:val="17"/>
        </w:numPr>
        <w:ind w:left="461" w:hanging="461"/>
      </w:pPr>
      <w:r>
        <w:t>在 project 中建立 .dsh 文件夹，再在其中建立 skills 文件夹。把整个 meeting-brief 文件夹复制进 skills。macOS 的访达可按 ⌘⇧. 显示隐藏项目，Windows 可直接在资源管理器的地址栏输入完整目录。</w:t>
      </w:r>
    </w:p>
    <w:p>
      <w:pPr>
        <w:pStyle w:val="Procedure"/>
        <w:numPr>
          <w:ilvl w:val="0"/>
          <w:numId w:val="17"/>
        </w:numPr>
        <w:ind w:left="461" w:hanging="461"/>
      </w:pPr>
      <w:r>
        <w:t>确认最终路径为 project/.dsh/skills/meeting-brief/SKILL.md。不要再套一层 skill-source，也别把 SKILL.md 存成 SKILL.md.txt。</w:t>
      </w:r>
    </w:p>
    <w:p>
      <w:pPr>
        <w:keepNext/>
        <w:spacing w:before="60" w:after="40"/>
        <w:jc w:val="center"/>
      </w:pPr>
      <w:r>
        <w:drawing>
          <wp:inline xmlns:a="http://schemas.openxmlformats.org/drawingml/2006/main" xmlns:pic="http://schemas.openxmlformats.org/drawingml/2006/picture">
            <wp:extent cx="4382627" cy="4114800"/>
            <wp:docPr id="3" name="Picture 3" descr="将 meeting-brief 从素材包复制到项目 .dsh/skills 后输入斜杠命令"/>
            <wp:cNvGraphicFramePr>
              <a:graphicFrameLocks noChangeAspect="1"/>
            </wp:cNvGraphicFramePr>
            <a:graphic>
              <a:graphicData uri="http://schemas.openxmlformats.org/drawingml/2006/picture">
                <pic:pic>
                  <pic:nvPicPr>
                    <pic:cNvPr id="0" name="skill.png"/>
                    <pic:cNvPicPr/>
                  </pic:nvPicPr>
                  <pic:blipFill>
                    <a:blip r:embed="rId38"/>
                    <a:stretch>
                      <a:fillRect/>
                    </a:stretch>
                  </pic:blipFill>
                  <pic:spPr>
                    <a:xfrm>
                      <a:off x="0" y="0"/>
                      <a:ext cx="4382627" cy="4114800"/>
                    </a:xfrm>
                    <a:prstGeom prst="rect"/>
                  </pic:spPr>
                </pic:pic>
              </a:graphicData>
            </a:graphic>
          </wp:inline>
        </w:drawing>
      </w:r>
    </w:p>
    <w:p>
      <w:pPr>
        <w:pStyle w:val="ManuscriptMeta"/>
        <w:jc w:val="center"/>
      </w:pPr>
      <w:r>
        <w:t>图 3　技能目录的位置与调用名。示例工作区为独立的 project 文件夹。</w:t>
      </w:r>
    </w:p>
    <w:p>
      <w:pPr>
        <w:pStyle w:val="Heading3"/>
      </w:pPr>
      <w:r>
        <w:t>SKILL.md 里写什么</w:t>
      </w:r>
    </w:p>
    <w:p>
      <w:r>
        <w:t>文件开头两行字段分别指定调用名和适用场景，末尾的中文正文写处理原则。从第一行的三个半角短横线一直复制到末行即可。此例只包含文字规则。</w:t>
      </w:r>
    </w:p>
    <w:p>
      <w:pPr>
        <w:pStyle w:val="Command"/>
      </w:pPr>
      <w:r>
        <w:t>---</w:t>
        <w:br/>
        <w:t>name: meeting-brief</w:t>
        <w:br/>
        <w:t>description: 当用户需要从会议记录提取决定、待办和待确认事项时使用。</w:t>
        <w:br/>
        <w:t>---</w:t>
        <w:br/>
        <w:t>阅读用户指定的会议记录。按「决定」「待办」「待确认」三个标题整理。</w:t>
        <w:br/>
        <w:t>决定只写原文已确认的结论。待办仅列原文明确要求的动作，有负责人或期限时照录。</w:t>
        <w:br/>
        <w:t>需要明确的内容归入待确认。未提供的信息不补写，某栏无内容时写「原文未提及」。</w:t>
      </w:r>
    </w:p>
    <w:p>
      <w:pPr>
        <w:pStyle w:val="Heading3"/>
      </w:pPr>
      <w:r>
        <w:t>在项目对话里调用</w:t>
      </w:r>
    </w:p>
    <w:p>
      <w:pPr>
        <w:pStyle w:val="Procedure"/>
        <w:numPr>
          <w:ilvl w:val="0"/>
          <w:numId w:val="18"/>
        </w:numPr>
        <w:ind w:left="461" w:hanging="461"/>
      </w:pPr>
      <w:r>
        <w:t>在这个 project 的会话输入框中键入下面的指令并发送。斜杠名称后留一个空格，文件名相对于当前工作区。</w:t>
      </w:r>
    </w:p>
    <w:p>
      <w:pPr>
        <w:pStyle w:val="Procedure"/>
        <w:numPr>
          <w:ilvl w:val="0"/>
          <w:numId w:val="18"/>
        </w:numPr>
        <w:ind w:left="461" w:hanging="461"/>
      </w:pPr>
      <w:r>
        <w:t>先看会话是否出现加载 meeting-brief 的技能记录，再看 read 的目标是否为 meeting.txt。最后核对三栏及原文事实。仅输出三个标题不足以证明加载了技能。</w:t>
      </w:r>
    </w:p>
    <w:p>
      <w:pPr>
        <w:pStyle w:val="Procedure"/>
        <w:numPr>
          <w:ilvl w:val="0"/>
          <w:numId w:val="18"/>
        </w:numPr>
        <w:ind w:left="461" w:hanging="461"/>
      </w:pPr>
      <w:r>
        <w:t>想更改规则时，编辑安装位置内的 SKILL.md，再发一次调用。已经保存的旧回复会保留原样。</w:t>
      </w:r>
    </w:p>
    <w:p>
      <w:pPr>
        <w:pStyle w:val="Command"/>
      </w:pPr>
      <w:r>
        <w:t>/meeting-brief 请整理 meeting.txt</w:t>
      </w:r>
    </w:p>
    <w:p>
      <w:pPr>
        <w:pStyle w:val="ManuscriptMeta"/>
      </w:pPr>
      <w:r>
        <w:t>技能正文负责规定怎样整理。meeting.txt 是这次要读的材料，所以放在项目里，文件内容可以随会议更换。</w:t>
      </w:r>
    </w:p>
    <w:p>
      <w:pPr>
        <w:pStyle w:val="SourceLine"/>
      </w:pPr>
      <w:r>
        <w:rPr>
          <w:b/>
        </w:rPr>
        <w:t xml:space="preserve">资料出处　</w:t>
      </w:r>
      <w:hyperlink r:id="rId39">
        <w:r>
          <w:rPr>
            <w:color w:val="245A79"/>
            <w:u w:val="single"/>
          </w:rPr>
          <w:t>RC5 · 本地技能目录</w:t>
        </w:r>
      </w:hyperlink>
      <w:r>
        <w:t xml:space="preserve">  ｜  </w:t>
      </w:r>
      <w:hyperlink r:id="rId40">
        <w:r>
          <w:rPr>
            <w:color w:val="245A79"/>
            <w:u w:val="single"/>
          </w:rPr>
          <w:t>RC5 · 目录发现与文件校验源码</w:t>
        </w:r>
      </w:hyperlink>
      <w:r>
        <w:t xml:space="preserve">  ｜  </w:t>
      </w:r>
      <w:hyperlink r:id="rId41">
        <w:r>
          <w:rPr>
            <w:color w:val="245A79"/>
            <w:u w:val="single"/>
          </w:rPr>
          <w:t>RC5 · 输入框与技能菜单</w:t>
        </w:r>
      </w:hyperlink>
      <w:r>
        <w:t xml:space="preserve">  ｜  </w:t>
      </w:r>
      <w:hyperlink r:id="rId42">
        <w:r>
          <w:rPr>
            <w:color w:val="245A79"/>
            <w:u w:val="single"/>
          </w:rPr>
          <w:t>RC5 · 手动和自动调用规则</w:t>
        </w:r>
      </w:hyperlink>
    </w:p>
    <w:p>
      <w:pPr>
        <w:pStyle w:val="Heading2"/>
      </w:pPr>
      <w:r>
        <w:t>排查找不到的技能和没有生效的修改</w:t>
      </w:r>
    </w:p>
    <w:p>
      <w:pPr>
        <w:pStyle w:val="ManuscriptLead"/>
      </w:pPr>
      <w:r>
        <w:t>同名技能、工作区根目录和浏览器菜单缓存，会让一个明明存在的文件看起来没有加载。按文件路径、名称、刷新顺序检查，能定位问题落在哪一层。</w:t>
      </w:r>
    </w:p>
    <w:p>
      <w:pPr>
        <w:pStyle w:val="Heading3"/>
      </w:pPr>
      <w:r>
        <w:t>先定位当前项目的根</w:t>
      </w:r>
    </w:p>
    <w:p>
      <w:r>
        <w:t>Harness 从当前工作目录向上找到最近含 .git 的目录，以它作为项目根。找不到 .git 时，使用当前工作目录本身。若把练习目录放进已有 Git 仓库，Harness 可能从外层仓库的 .dsh/skills 读取；把练习目录放到仓库外就能按上一页的路径操作。</w:t>
      </w:r>
    </w:p>
    <w:p>
      <w:r>
        <w:t>每个技能根目录只扫描直接子项。支持 meeting-brief/SKILL.md，也支持单文件 meeting-brief.md。把目录写成 skills/办公/meeting-brief/SKILL.md 会多套一层。名称只接受小写字母、数字和分隔用的单连字符，例如 meeting-brief。</w:t>
      </w:r>
    </w:p>
    <w:p>
      <w:pPr>
        <w:pStyle w:val="Heading3"/>
      </w:pPr>
      <w:r>
        <w:t>同名时读哪一份</w:t>
      </w:r>
    </w:p>
    <w:p>
      <w:r>
        <w:t>同一作用域里，本地文件提供方按下表从上到下查找同名候选。想把规则分享给项目成员，放在项目根；只想在自己的不同项目间复用，放在个人根。~ 代表运行 Harness 的主机用户目录。</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521"/>
        <w:gridCol w:w="3802"/>
        <w:gridCol w:w="3555"/>
      </w:tblGrid>
      <w:tr>
        <w:trPr>
          <w:cantSplit/>
          <w:tblHeader w:val="true"/>
        </w:trPr>
        <w:tc>
          <w:tcPr>
            <w:tcW w:type="dxa" w:w="2521"/>
            <w:vAlign w:val="center"/>
            <w:shd w:fill="DCE8EE" w:val="clear"/>
          </w:tcPr>
          <w:p>
            <w:pPr>
              <w:pStyle w:val="TableBody"/>
              <w:keepNext/>
            </w:pPr>
            <w:r>
              <w:rPr>
                <w:b/>
                <w:color w:val="000000"/>
              </w:rPr>
              <w:t>优先顺序</w:t>
            </w:r>
          </w:p>
        </w:tc>
        <w:tc>
          <w:tcPr>
            <w:tcW w:type="dxa" w:w="3802"/>
            <w:vAlign w:val="center"/>
            <w:shd w:fill="DCE8EE" w:val="clear"/>
          </w:tcPr>
          <w:p>
            <w:pPr>
              <w:pStyle w:val="TableBody"/>
              <w:keepNext/>
            </w:pPr>
            <w:r>
              <w:rPr>
                <w:b/>
                <w:color w:val="000000"/>
              </w:rPr>
              <w:t>扫描目录</w:t>
            </w:r>
          </w:p>
        </w:tc>
        <w:tc>
          <w:tcPr>
            <w:tcW w:type="dxa" w:w="3555"/>
            <w:vAlign w:val="center"/>
            <w:shd w:fill="DCE8EE" w:val="clear"/>
          </w:tcPr>
          <w:p>
            <w:pPr>
              <w:pStyle w:val="TableBody"/>
              <w:keepNext/>
            </w:pPr>
            <w:r>
              <w:rPr>
                <w:b/>
                <w:color w:val="000000"/>
              </w:rPr>
              <w:t>用途</w:t>
            </w:r>
          </w:p>
        </w:tc>
      </w:tr>
      <w:tr>
        <w:trPr>
          <w:cantSplit/>
        </w:trPr>
        <w:tc>
          <w:tcPr>
            <w:tcW w:type="dxa" w:w="2521"/>
            <w:vAlign w:val="center"/>
          </w:tcPr>
          <w:p>
            <w:pPr>
              <w:pStyle w:val="TableBody"/>
              <w:keepNext w:val="0"/>
            </w:pPr>
            <w:r>
              <w:t>100</w:t>
            </w:r>
          </w:p>
        </w:tc>
        <w:tc>
          <w:tcPr>
            <w:tcW w:type="dxa" w:w="3802"/>
            <w:vAlign w:val="center"/>
          </w:tcPr>
          <w:p>
            <w:pPr>
              <w:pStyle w:val="TableBody"/>
              <w:keepNext w:val="0"/>
            </w:pPr>
            <w:r>
              <w:t>&lt;项目根&gt;/.dsh/skills</w:t>
            </w:r>
          </w:p>
        </w:tc>
        <w:tc>
          <w:tcPr>
            <w:tcW w:type="dxa" w:w="3555"/>
            <w:vAlign w:val="center"/>
          </w:tcPr>
          <w:p>
            <w:pPr>
              <w:pStyle w:val="TableBody"/>
              <w:keepNext w:val="0"/>
            </w:pPr>
            <w:r>
              <w:t>本项目专用</w:t>
            </w:r>
          </w:p>
        </w:tc>
      </w:tr>
      <w:tr>
        <w:trPr>
          <w:cantSplit/>
        </w:trPr>
        <w:tc>
          <w:tcPr>
            <w:tcW w:type="dxa" w:w="2521"/>
            <w:vAlign w:val="center"/>
          </w:tcPr>
          <w:p>
            <w:pPr>
              <w:pStyle w:val="TableBody"/>
              <w:keepNext w:val="0"/>
            </w:pPr>
            <w:r>
              <w:t>200</w:t>
            </w:r>
          </w:p>
        </w:tc>
        <w:tc>
          <w:tcPr>
            <w:tcW w:type="dxa" w:w="3802"/>
            <w:vAlign w:val="center"/>
          </w:tcPr>
          <w:p>
            <w:pPr>
              <w:pStyle w:val="TableBody"/>
              <w:keepNext w:val="0"/>
            </w:pPr>
            <w:r>
              <w:t>&lt;项目根&gt;/.agents/skills</w:t>
            </w:r>
          </w:p>
        </w:tc>
        <w:tc>
          <w:tcPr>
            <w:tcW w:type="dxa" w:w="3555"/>
            <w:vAlign w:val="center"/>
          </w:tcPr>
          <w:p>
            <w:pPr>
              <w:pStyle w:val="TableBody"/>
              <w:keepNext w:val="0"/>
            </w:pPr>
            <w:r>
              <w:t>项目中的通用 agent 目录</w:t>
            </w:r>
          </w:p>
        </w:tc>
      </w:tr>
      <w:tr>
        <w:trPr>
          <w:cantSplit/>
        </w:trPr>
        <w:tc>
          <w:tcPr>
            <w:tcW w:type="dxa" w:w="2521"/>
            <w:vAlign w:val="center"/>
          </w:tcPr>
          <w:p>
            <w:pPr>
              <w:pStyle w:val="TableBody"/>
              <w:keepNext w:val="0"/>
            </w:pPr>
            <w:r>
              <w:t>300</w:t>
            </w:r>
          </w:p>
        </w:tc>
        <w:tc>
          <w:tcPr>
            <w:tcW w:type="dxa" w:w="3802"/>
            <w:vAlign w:val="center"/>
          </w:tcPr>
          <w:p>
            <w:pPr>
              <w:pStyle w:val="TableBody"/>
              <w:keepNext w:val="0"/>
            </w:pPr>
            <w:r>
              <w:t>customSkillDirs 配置的目录</w:t>
            </w:r>
          </w:p>
        </w:tc>
        <w:tc>
          <w:tcPr>
            <w:tcW w:type="dxa" w:w="3555"/>
            <w:vAlign w:val="center"/>
          </w:tcPr>
          <w:p>
            <w:pPr>
              <w:pStyle w:val="TableBody"/>
              <w:keepNext w:val="0"/>
            </w:pPr>
            <w:r>
              <w:t>额外指定的技能来源</w:t>
            </w:r>
          </w:p>
        </w:tc>
      </w:tr>
      <w:tr>
        <w:trPr>
          <w:cantSplit/>
        </w:trPr>
        <w:tc>
          <w:tcPr>
            <w:tcW w:type="dxa" w:w="2521"/>
            <w:vAlign w:val="center"/>
          </w:tcPr>
          <w:p>
            <w:pPr>
              <w:pStyle w:val="TableBody"/>
              <w:keepNext w:val="0"/>
            </w:pPr>
            <w:r>
              <w:t>400</w:t>
            </w:r>
          </w:p>
        </w:tc>
        <w:tc>
          <w:tcPr>
            <w:tcW w:type="dxa" w:w="3802"/>
            <w:vAlign w:val="center"/>
          </w:tcPr>
          <w:p>
            <w:pPr>
              <w:pStyle w:val="TableBody"/>
              <w:keepNext w:val="0"/>
            </w:pPr>
            <w:r>
              <w:t>&lt;dshHome&gt;/skills</w:t>
            </w:r>
          </w:p>
        </w:tc>
        <w:tc>
          <w:tcPr>
            <w:tcW w:type="dxa" w:w="3555"/>
            <w:vAlign w:val="center"/>
          </w:tcPr>
          <w:p>
            <w:pPr>
              <w:pStyle w:val="TableBody"/>
              <w:keepNext w:val="0"/>
            </w:pPr>
            <w:r>
              <w:t>个人 Harness 技能，默认 ~/.dsh/skills</w:t>
            </w:r>
          </w:p>
        </w:tc>
      </w:tr>
      <w:tr>
        <w:trPr>
          <w:cantSplit/>
        </w:trPr>
        <w:tc>
          <w:tcPr>
            <w:tcW w:type="dxa" w:w="2521"/>
            <w:vAlign w:val="center"/>
          </w:tcPr>
          <w:p>
            <w:pPr>
              <w:pStyle w:val="TableBody"/>
              <w:keepNext w:val="0"/>
            </w:pPr>
            <w:r>
              <w:t>500</w:t>
            </w:r>
          </w:p>
        </w:tc>
        <w:tc>
          <w:tcPr>
            <w:tcW w:type="dxa" w:w="3802"/>
            <w:vAlign w:val="center"/>
          </w:tcPr>
          <w:p>
            <w:pPr>
              <w:pStyle w:val="TableBody"/>
              <w:keepNext w:val="0"/>
            </w:pPr>
            <w:r>
              <w:t>&lt;agentsHome&gt;/skills</w:t>
            </w:r>
          </w:p>
        </w:tc>
        <w:tc>
          <w:tcPr>
            <w:tcW w:type="dxa" w:w="3555"/>
            <w:vAlign w:val="center"/>
          </w:tcPr>
          <w:p>
            <w:pPr>
              <w:pStyle w:val="TableBody"/>
              <w:keepNext w:val="0"/>
            </w:pPr>
            <w:r>
              <w:t>个人共享技能，默认 ~/.agents/skills</w:t>
            </w:r>
          </w:p>
        </w:tc>
      </w:tr>
      <w:tr>
        <w:trPr>
          <w:cantSplit/>
        </w:trPr>
        <w:tc>
          <w:tcPr>
            <w:tcW w:type="dxa" w:w="2521"/>
            <w:vAlign w:val="center"/>
          </w:tcPr>
          <w:p>
            <w:pPr>
              <w:pStyle w:val="TableBody"/>
              <w:keepNext w:val="0"/>
            </w:pPr>
            <w:r>
              <w:t>600</w:t>
            </w:r>
          </w:p>
        </w:tc>
        <w:tc>
          <w:tcPr>
            <w:tcW w:type="dxa" w:w="3802"/>
            <w:vAlign w:val="center"/>
          </w:tcPr>
          <w:p>
            <w:pPr>
              <w:pStyle w:val="TableBody"/>
              <w:keepNext w:val="0"/>
            </w:pPr>
            <w:r>
              <w:t>bundledSkillDir</w:t>
            </w:r>
          </w:p>
        </w:tc>
        <w:tc>
          <w:tcPr>
            <w:tcW w:type="dxa" w:w="3555"/>
            <w:vAlign w:val="center"/>
          </w:tcPr>
          <w:p>
            <w:pPr>
              <w:pStyle w:val="TableBody"/>
              <w:keepNext w:val="0"/>
            </w:pPr>
            <w:r>
              <w:t>部署配置的随包技能</w:t>
            </w:r>
          </w:p>
        </w:tc>
      </w:tr>
    </w:tbl>
    <w:p>
      <w:pPr>
        <w:pStyle w:val="ManuscriptMeta"/>
      </w:pPr>
      <w:r>
        <w:t>上表只列文件目录。预设和插件还可注册其他来源。注册表先比较作用域，较近作用域优先；同一层再比较 rank。默认的运行时来源 rank 为 250。</w:t>
      </w:r>
    </w:p>
    <w:p>
      <w:pPr>
        <w:pStyle w:val="Heading3"/>
      </w:pPr>
      <w:r>
        <w:t>区分自动选择和手动选择</w:t>
      </w:r>
    </w:p>
    <w:p>
      <w:r>
        <w:t>希望每次由人点名，就把 disable-model-invocation: true 加在文件头的结束标记 --- 之前，也就是 name 和 description 所在区域的结尾。希望模型自己按场景选择，就把 description 写成具体的适用条件。两项同时禁止会关闭这两种调用入口。</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3467"/>
        <w:gridCol w:w="2876"/>
        <w:gridCol w:w="3535"/>
      </w:tblGrid>
      <w:tr>
        <w:trPr>
          <w:cantSplit/>
          <w:tblHeader w:val="true"/>
        </w:trPr>
        <w:tc>
          <w:tcPr>
            <w:tcW w:type="dxa" w:w="3467"/>
            <w:vAlign w:val="center"/>
            <w:shd w:fill="DCE8EE" w:val="clear"/>
          </w:tcPr>
          <w:p>
            <w:pPr>
              <w:pStyle w:val="TableBody"/>
              <w:keepNext/>
            </w:pPr>
            <w:r>
              <w:rPr>
                <w:b/>
                <w:color w:val="000000"/>
              </w:rPr>
              <w:t>文件头的设置</w:t>
            </w:r>
          </w:p>
        </w:tc>
        <w:tc>
          <w:tcPr>
            <w:tcW w:type="dxa" w:w="2876"/>
            <w:vAlign w:val="center"/>
            <w:shd w:fill="DCE8EE" w:val="clear"/>
          </w:tcPr>
          <w:p>
            <w:pPr>
              <w:pStyle w:val="TableBody"/>
              <w:keepNext/>
            </w:pPr>
            <w:r>
              <w:rPr>
                <w:b/>
                <w:color w:val="000000"/>
              </w:rPr>
              <w:t>模型可主动选择</w:t>
            </w:r>
          </w:p>
        </w:tc>
        <w:tc>
          <w:tcPr>
            <w:tcW w:type="dxa" w:w="3535"/>
            <w:vAlign w:val="center"/>
            <w:shd w:fill="DCE8EE" w:val="clear"/>
          </w:tcPr>
          <w:p>
            <w:pPr>
              <w:pStyle w:val="TableBody"/>
              <w:keepNext/>
            </w:pPr>
            <w:r>
              <w:rPr>
                <w:b/>
                <w:color w:val="000000"/>
              </w:rPr>
              <w:t>用户可输入 /name</w:t>
            </w:r>
          </w:p>
        </w:tc>
      </w:tr>
      <w:tr>
        <w:trPr>
          <w:cantSplit/>
        </w:trPr>
        <w:tc>
          <w:tcPr>
            <w:tcW w:type="dxa" w:w="3467"/>
            <w:vAlign w:val="center"/>
          </w:tcPr>
          <w:p>
            <w:pPr>
              <w:pStyle w:val="TableBody"/>
              <w:keepNext w:val="0"/>
            </w:pPr>
            <w:r>
              <w:t>未写以下两项</w:t>
            </w:r>
          </w:p>
        </w:tc>
        <w:tc>
          <w:tcPr>
            <w:tcW w:type="dxa" w:w="2876"/>
            <w:vAlign w:val="center"/>
          </w:tcPr>
          <w:p>
            <w:pPr>
              <w:pStyle w:val="TableBody"/>
              <w:keepNext w:val="0"/>
            </w:pPr>
            <w:r>
              <w:t>可以</w:t>
            </w:r>
          </w:p>
        </w:tc>
        <w:tc>
          <w:tcPr>
            <w:tcW w:type="dxa" w:w="3535"/>
            <w:vAlign w:val="center"/>
          </w:tcPr>
          <w:p>
            <w:pPr>
              <w:pStyle w:val="TableBody"/>
              <w:keepNext w:val="0"/>
            </w:pPr>
            <w:r>
              <w:t>可以</w:t>
            </w:r>
          </w:p>
        </w:tc>
      </w:tr>
      <w:tr>
        <w:trPr>
          <w:cantSplit/>
        </w:trPr>
        <w:tc>
          <w:tcPr>
            <w:tcW w:type="dxa" w:w="3467"/>
            <w:vAlign w:val="center"/>
          </w:tcPr>
          <w:p>
            <w:pPr>
              <w:pStyle w:val="TableBody"/>
              <w:keepNext w:val="0"/>
            </w:pPr>
            <w:r>
              <w:t>disable-model-invocation: true</w:t>
            </w:r>
          </w:p>
        </w:tc>
        <w:tc>
          <w:tcPr>
            <w:tcW w:type="dxa" w:w="2876"/>
            <w:vAlign w:val="center"/>
          </w:tcPr>
          <w:p>
            <w:pPr>
              <w:pStyle w:val="TableBody"/>
              <w:keepNext w:val="0"/>
            </w:pPr>
            <w:r>
              <w:t>不可以</w:t>
            </w:r>
          </w:p>
        </w:tc>
        <w:tc>
          <w:tcPr>
            <w:tcW w:type="dxa" w:w="3535"/>
            <w:vAlign w:val="center"/>
          </w:tcPr>
          <w:p>
            <w:pPr>
              <w:pStyle w:val="TableBody"/>
              <w:keepNext w:val="0"/>
            </w:pPr>
            <w:r>
              <w:t>可以</w:t>
            </w:r>
          </w:p>
        </w:tc>
      </w:tr>
      <w:tr>
        <w:trPr>
          <w:cantSplit/>
        </w:trPr>
        <w:tc>
          <w:tcPr>
            <w:tcW w:type="dxa" w:w="3467"/>
            <w:vAlign w:val="center"/>
          </w:tcPr>
          <w:p>
            <w:pPr>
              <w:pStyle w:val="TableBody"/>
              <w:keepNext w:val="0"/>
            </w:pPr>
            <w:r>
              <w:t>user-invocable: false</w:t>
            </w:r>
          </w:p>
        </w:tc>
        <w:tc>
          <w:tcPr>
            <w:tcW w:type="dxa" w:w="2876"/>
            <w:vAlign w:val="center"/>
          </w:tcPr>
          <w:p>
            <w:pPr>
              <w:pStyle w:val="TableBody"/>
              <w:keepNext w:val="0"/>
            </w:pPr>
            <w:r>
              <w:t>可以</w:t>
            </w:r>
          </w:p>
        </w:tc>
        <w:tc>
          <w:tcPr>
            <w:tcW w:type="dxa" w:w="3535"/>
            <w:vAlign w:val="center"/>
          </w:tcPr>
          <w:p>
            <w:pPr>
              <w:pStyle w:val="TableBody"/>
              <w:keepNext w:val="0"/>
            </w:pPr>
            <w:r>
              <w:t>不可以</w:t>
            </w:r>
          </w:p>
        </w:tc>
      </w:tr>
    </w:tbl>
    <w:p>
      <w:pPr>
        <w:pStyle w:val="Heading3"/>
      </w:pPr>
      <w:r>
        <w:t>新文件没有出现在 / 菜单</w:t>
      </w:r>
    </w:p>
    <w:p>
      <w:pPr>
        <w:pStyle w:val="Procedure"/>
        <w:numPr>
          <w:ilvl w:val="0"/>
          <w:numId w:val="19"/>
        </w:numPr>
        <w:ind w:left="461" w:hanging="461"/>
      </w:pPr>
      <w:r>
        <w:t>直接写完整名称，例如 /meeting-brief 请整理 meeting.txt。确保命令两侧由空白或消息边界隔开；与宿主命令重名时，宿主命令优先。</w:t>
      </w:r>
    </w:p>
    <w:p>
      <w:pPr>
        <w:pStyle w:val="Procedure"/>
        <w:numPr>
          <w:ilvl w:val="0"/>
          <w:numId w:val="19"/>
        </w:numPr>
        <w:ind w:left="461" w:hanging="461"/>
      </w:pPr>
      <w:r>
        <w:t>确认文件第一行只有 ---，name 和 description 都有值，调用名符合规则。YAML 或名称无效时，提供方会跳过该文件。</w:t>
      </w:r>
    </w:p>
    <w:p>
      <w:pPr>
        <w:pStyle w:val="Procedure"/>
        <w:numPr>
          <w:ilvl w:val="0"/>
          <w:numId w:val="19"/>
        </w:numPr>
        <w:ind w:left="461" w:hanging="461"/>
      </w:pPr>
      <w:r>
        <w:t>默认开启的文件监视器会跟踪新增、删除、改名和文件头变动，宿主在下一次模型步骤更新技能目录。每次加载会重新读取正文。仅更改 references、scripts、assets 内的附件不会触发目录更新。</w:t>
      </w:r>
    </w:p>
    <w:p>
      <w:pPr>
        <w:pStyle w:val="Procedure"/>
        <w:numPr>
          <w:ilvl w:val="0"/>
          <w:numId w:val="19"/>
        </w:numPr>
        <w:ind w:left="461" w:hanging="461"/>
      </w:pPr>
      <w:r>
        <w:t>RC5 已打开的 Web 会话可能继续展示之前缓存的 / 菜单。切换预设或重置连接会刷新菜单；旧对话记录里的已完成 Instructions 卡片保留当时的正文。</w:t>
      </w:r>
    </w:p>
    <w:p>
      <w:pPr>
        <w:pStyle w:val="SourceLine"/>
      </w:pPr>
      <w:r>
        <w:rPr>
          <w:b/>
        </w:rPr>
        <w:t xml:space="preserve">资料出处　</w:t>
      </w:r>
      <w:hyperlink r:id="rId39">
        <w:r>
          <w:rPr>
            <w:color w:val="245A79"/>
            <w:u w:val="single"/>
          </w:rPr>
          <w:t>RC5 · 本地技能目录</w:t>
        </w:r>
      </w:hyperlink>
      <w:r>
        <w:t xml:space="preserve">  ｜  </w:t>
      </w:r>
      <w:hyperlink r:id="rId43">
        <w:r>
          <w:rPr>
            <w:color w:val="245A79"/>
            <w:u w:val="single"/>
          </w:rPr>
          <w:t>RC5 · 技能注册表的重名规则</w:t>
        </w:r>
      </w:hyperlink>
      <w:r>
        <w:t xml:space="preserve">  ｜  </w:t>
      </w:r>
      <w:hyperlink r:id="rId44">
        <w:r>
          <w:rPr>
            <w:color w:val="245A79"/>
            <w:u w:val="single"/>
          </w:rPr>
          <w:t>RC5 · 文件发现及变更用例</w:t>
        </w:r>
      </w:hyperlink>
      <w:r>
        <w:t xml:space="preserve">  ｜  </w:t>
      </w:r>
      <w:hyperlink r:id="rId42">
        <w:r>
          <w:rPr>
            <w:color w:val="245A79"/>
            <w:u w:val="single"/>
          </w:rPr>
          <w:t>RC5 · 手动和自动调用规则</w:t>
        </w:r>
      </w:hyperlink>
      <w:r>
        <w:t xml:space="preserve">  ｜  </w:t>
      </w:r>
      <w:hyperlink r:id="rId45">
        <w:r>
          <w:rPr>
            <w:color w:val="245A79"/>
            <w:u w:val="single"/>
          </w:rPr>
          <w:t>RC5 · 已打开会话的菜单缓存</w:t>
        </w:r>
      </w:hyperlink>
    </w:p>
    <w:p>
      <w:pPr>
        <w:pStyle w:val="Heading2"/>
      </w:pPr>
      <w:r>
        <w:t>安装、启停和检查插件</w:t>
      </w:r>
    </w:p>
    <w:p>
      <w:pPr>
        <w:pStyle w:val="ManuscriptLead"/>
      </w:pPr>
      <w:r>
        <w:t>技能文件能教模型遵循你的工作方法。需要新增工具、侧栏页面或外部服务连接时，再打开插件管理页。插件安装在当前配置档（profile）中，使用这份配置的其他会话也会受到影响。</w:t>
      </w:r>
    </w:p>
    <w:p>
      <w:pPr>
        <w:pStyle w:val="Heading3"/>
      </w:pPr>
      <w:r>
        <w:t>从侧栏查看已有插件</w:t>
      </w:r>
    </w:p>
    <w:p>
      <w:pPr>
        <w:pStyle w:val="Procedure"/>
        <w:numPr>
          <w:ilvl w:val="0"/>
          <w:numId w:val="20"/>
        </w:numPr>
        <w:ind w:left="461" w:hanging="461"/>
      </w:pPr>
      <w:r>
        <w:t>在运行受管配置档的 Web 工作区，打开侧栏「插件」。在实验性插件或已安装列表中点进卡片，查看包名、版本、组件与来源信息。</w:t>
      </w:r>
    </w:p>
    <w:p>
      <w:pPr>
        <w:pStyle w:val="Procedure"/>
        <w:numPr>
          <w:ilvl w:val="0"/>
          <w:numId w:val="20"/>
        </w:numPr>
        <w:ind w:left="461" w:hanging="461"/>
      </w:pPr>
      <w:r>
        <w:t>随包提供的功能可尝试在卡片或详情页打开开关。按需提供的官方包会先显示安装进度。安装完成后再看开关和组件的运行状态。</w:t>
      </w:r>
    </w:p>
    <w:p>
      <w:pPr>
        <w:pStyle w:val="Procedure"/>
        <w:numPr>
          <w:ilvl w:val="0"/>
          <w:numId w:val="20"/>
        </w:numPr>
        <w:ind w:left="461" w:hanging="461"/>
      </w:pPr>
      <w:r>
        <w:t>关闭组合包会停用该层并保留已安装的依赖；需要删除外部包时，使用单独的卸载操作并确认。设置中的内置插件清单用于查看库存和运行状态。</w:t>
      </w:r>
    </w:p>
    <w:p>
      <w:pPr>
        <w:pStyle w:val="ManuscriptMeta"/>
      </w:pPr>
      <w:r>
        <w:t>支持热重载的配置会在操作后重新组合。界面若提示需要重启，重启对应的 Harness 宿主后再看状态。只刷新浏览器标签页无法重启宿主。</w:t>
      </w:r>
    </w:p>
    <w:p>
      <w:pPr>
        <w:pStyle w:val="Heading3"/>
      </w:pPr>
      <w:r>
        <w:t>从外部来源安装</w:t>
      </w:r>
    </w:p>
    <w:p>
      <w:pPr>
        <w:pStyle w:val="Procedure"/>
        <w:numPr>
          <w:ilvl w:val="0"/>
          <w:numId w:val="21"/>
        </w:numPr>
        <w:ind w:left="461" w:hanging="461"/>
      </w:pPr>
      <w:r>
        <w:t>点「添加插件」。可填有明确来源的包名（可附版本）、Git 地址、压缩包，或运行 Harness 的主机可访问的本地绝对路径。</w:t>
      </w:r>
    </w:p>
    <w:p>
      <w:pPr>
        <w:pStyle w:val="Procedure"/>
        <w:numPr>
          <w:ilvl w:val="0"/>
          <w:numId w:val="21"/>
        </w:numPr>
        <w:ind w:left="461" w:hanging="461"/>
      </w:pPr>
      <w:r>
        <w:t>核对预览中的包名和来源，查看安装进度及可能出现的构建脚本审批。安装完成后查看实际启用状态，再到对应的工具或页面确认入口。</w:t>
      </w:r>
    </w:p>
    <w:p>
      <w:pPr>
        <w:pStyle w:val="Procedure"/>
        <w:numPr>
          <w:ilvl w:val="0"/>
          <w:numId w:val="21"/>
        </w:numPr>
        <w:ind w:left="461" w:hanging="461"/>
      </w:pPr>
      <w:r>
        <w:t>想用社区索引时，RC5 的入口是「实验性插件」旁的「更多」→「自定义插件市场」。打开后去「发现」添加可信索引源，再核对将安装的 npm 包或 Git 提交。初装时没有预置索引源。</w:t>
      </w:r>
    </w:p>
    <w:p>
      <w:pPr>
        <w:pStyle w:val="ManuscriptMeta"/>
      </w:pPr>
      <w:r>
        <w:t>宿主插件可在宿主进程执行代码。来源身份、发布版本和索引地址都值得核对，即使发现页上能看到该条目。</w:t>
      </w:r>
    </w:p>
    <w:p>
      <w:pPr>
        <w:pStyle w:val="Heading3"/>
      </w:pPr>
      <w:r>
        <w:t>命令行与 Creator 的入口</w:t>
      </w:r>
    </w:p>
    <w:p>
      <w:r>
        <w:t>已安装并注册 dsh 命令的 Web 用户，可在终端查看指定 profile 的包依赖。例子中的 web 与桌面端的 desktop 是两份配置。</w:t>
      </w:r>
    </w:p>
    <w:p>
      <w:pPr>
        <w:pStyle w:val="Procedure"/>
        <w:numPr>
          <w:ilvl w:val="0"/>
          <w:numId w:val="22"/>
        </w:numPr>
        <w:ind w:left="461" w:hanging="461"/>
      </w:pPr>
      <w:r>
        <w:t>命令行的安装和卸载格式分别为 dsh plugin --profile web add &lt;包名&gt; 与 dsh plugin --profile web remove &lt;包名&gt;。把尖括号及其中的文字换成实际包名。</w:t>
      </w:r>
    </w:p>
    <w:p>
      <w:pPr>
        <w:pStyle w:val="Procedure"/>
        <w:numPr>
          <w:ilvl w:val="0"/>
          <w:numId w:val="22"/>
        </w:numPr>
        <w:ind w:left="461" w:hanging="461"/>
      </w:pPr>
      <w:r>
        <w:t>桌面端要用它随附的 dsh 命令管理 desktop 配置。先启动一次桌面应用完成初始化，再完全退出，执行 dsh plugin --profile desktop list。单纯关闭窗口可能只会将应用隐藏。更改后重新打开桌面应用。</w:t>
      </w:r>
    </w:p>
    <w:p>
      <w:pPr>
        <w:pStyle w:val="Procedure"/>
        <w:numPr>
          <w:ilvl w:val="0"/>
          <w:numId w:val="22"/>
        </w:numPr>
        <w:ind w:left="461" w:hanging="461"/>
      </w:pPr>
      <w:r>
        <w:t>RC5 默认在 Creator 预设中开放 plugin_manager。让智能体先列出插件或组合包，再按准确标识操作；工具受会话权限或单次审批约束。plugin_manager 是对话中的工具名，终端使用 dsh plugin。</w:t>
      </w:r>
    </w:p>
    <w:p>
      <w:pPr>
        <w:pStyle w:val="Command"/>
      </w:pPr>
      <w:r>
        <w:t>dsh plugin --help</w:t>
        <w:br/>
        <w:t>dsh plugin --profile web list</w:t>
      </w:r>
    </w:p>
    <w:p>
      <w:pPr>
        <w:pStyle w:val="SourceLine"/>
      </w:pPr>
      <w:r>
        <w:rPr>
          <w:b/>
        </w:rPr>
        <w:t xml:space="preserve">资料出处　</w:t>
      </w:r>
      <w:hyperlink r:id="rId46">
        <w:r>
          <w:rPr>
            <w:color w:val="245A79"/>
            <w:u w:val="single"/>
          </w:rPr>
          <w:t>RC5 · 插件页面与安装入口</w:t>
        </w:r>
      </w:hyperlink>
      <w:r>
        <w:t xml:space="preserve">  ｜  </w:t>
      </w:r>
      <w:hyperlink r:id="rId47">
        <w:r>
          <w:rPr>
            <w:color w:val="245A79"/>
            <w:u w:val="single"/>
          </w:rPr>
          <w:t>RC5 · 插件管理器</w:t>
        </w:r>
      </w:hyperlink>
      <w:r>
        <w:t xml:space="preserve">  ｜  </w:t>
      </w:r>
      <w:hyperlink r:id="rId48">
        <w:r>
          <w:rPr>
            <w:color w:val="245A79"/>
            <w:u w:val="single"/>
          </w:rPr>
          <w:t>RC5 · 自定义插件市场</w:t>
        </w:r>
      </w:hyperlink>
      <w:r>
        <w:t xml:space="preserve">  ｜  </w:t>
      </w:r>
      <w:hyperlink r:id="rId49">
        <w:r>
          <w:rPr>
            <w:color w:val="245A79"/>
            <w:u w:val="single"/>
          </w:rPr>
          <w:t>RC5 · 命令行帮助</w:t>
        </w:r>
      </w:hyperlink>
      <w:r>
        <w:t xml:space="preserve">  ｜  </w:t>
      </w:r>
      <w:hyperlink r:id="rId50">
        <w:r>
          <w:rPr>
            <w:color w:val="245A79"/>
            <w:u w:val="single"/>
          </w:rPr>
          <w:t>RC5 · 桌面内置命令</w:t>
        </w:r>
      </w:hyperlink>
    </w:p>
    <w:p>
      <w:pPr>
        <w:pStyle w:val="Heading2"/>
      </w:pPr>
      <w:r>
        <w:t>选一个工作区，文件会写到哪里？</w:t>
      </w:r>
    </w:p>
    <w:p>
      <w:pPr>
        <w:pStyle w:val="ManuscriptLead"/>
      </w:pPr>
      <w:r>
        <w:t>把一次读书会的材料放在一个文件夹，只把这个文件夹选作工作区。同一个文件夹里可以开多个会话，例如一个整理纪要、另一个编写通知。</w:t>
      </w:r>
    </w:p>
    <w:p>
      <w:pPr>
        <w:pStyle w:val="Heading3"/>
      </w:pPr>
      <w:r>
        <w:t>工作区、会话和文件是三件事</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1764"/>
        <w:gridCol w:w="3397"/>
        <w:gridCol w:w="4718"/>
      </w:tblGrid>
      <w:tr>
        <w:trPr>
          <w:cantSplit/>
          <w:tblHeader w:val="true"/>
        </w:trPr>
        <w:tc>
          <w:tcPr>
            <w:tcW w:type="dxa" w:w="1764"/>
            <w:vAlign w:val="center"/>
            <w:shd w:fill="DCE8EE" w:val="clear"/>
          </w:tcPr>
          <w:p>
            <w:pPr>
              <w:pStyle w:val="TableBody"/>
              <w:keepNext/>
            </w:pPr>
            <w:r>
              <w:rPr>
                <w:b/>
                <w:color w:val="000000"/>
              </w:rPr>
              <w:t>名称</w:t>
            </w:r>
          </w:p>
        </w:tc>
        <w:tc>
          <w:tcPr>
            <w:tcW w:type="dxa" w:w="3397"/>
            <w:vAlign w:val="center"/>
            <w:shd w:fill="DCE8EE" w:val="clear"/>
          </w:tcPr>
          <w:p>
            <w:pPr>
              <w:pStyle w:val="TableBody"/>
              <w:keepNext/>
            </w:pPr>
            <w:r>
              <w:rPr>
                <w:b/>
                <w:color w:val="000000"/>
              </w:rPr>
              <w:t>打开界面时你会看到什么</w:t>
            </w:r>
          </w:p>
        </w:tc>
        <w:tc>
          <w:tcPr>
            <w:tcW w:type="dxa" w:w="4718"/>
            <w:vAlign w:val="center"/>
            <w:shd w:fill="DCE8EE" w:val="clear"/>
          </w:tcPr>
          <w:p>
            <w:pPr>
              <w:pStyle w:val="TableBody"/>
              <w:keepNext/>
            </w:pPr>
            <w:r>
              <w:rPr>
                <w:b/>
                <w:color w:val="000000"/>
              </w:rPr>
              <w:t>真正存在哪里</w:t>
            </w:r>
          </w:p>
        </w:tc>
      </w:tr>
      <w:tr>
        <w:trPr>
          <w:cantSplit/>
        </w:trPr>
        <w:tc>
          <w:tcPr>
            <w:tcW w:type="dxa" w:w="1764"/>
            <w:vAlign w:val="center"/>
          </w:tcPr>
          <w:p>
            <w:pPr>
              <w:pStyle w:val="TableBody"/>
              <w:keepNext w:val="0"/>
            </w:pPr>
            <w:r>
              <w:t>工作区</w:t>
            </w:r>
          </w:p>
        </w:tc>
        <w:tc>
          <w:tcPr>
            <w:tcW w:type="dxa" w:w="3397"/>
            <w:vAlign w:val="center"/>
          </w:tcPr>
          <w:p>
            <w:pPr>
              <w:pStyle w:val="TableBody"/>
              <w:keepNext w:val="0"/>
            </w:pPr>
            <w:r>
              <w:t>侧栏里可以选择的项目，例如「读书会」</w:t>
            </w:r>
          </w:p>
        </w:tc>
        <w:tc>
          <w:tcPr>
            <w:tcW w:type="dxa" w:w="4718"/>
            <w:vAlign w:val="center"/>
          </w:tcPr>
          <w:p>
            <w:pPr>
              <w:pStyle w:val="TableBody"/>
              <w:keepNext w:val="0"/>
            </w:pPr>
            <w:r>
              <w:t>登记的是运行 Harness 那台电脑上的目录路径。文件仍在原来的磁盘目录。</w:t>
            </w:r>
          </w:p>
        </w:tc>
      </w:tr>
      <w:tr>
        <w:trPr>
          <w:cantSplit/>
        </w:trPr>
        <w:tc>
          <w:tcPr>
            <w:tcW w:type="dxa" w:w="1764"/>
            <w:vAlign w:val="center"/>
          </w:tcPr>
          <w:p>
            <w:pPr>
              <w:pStyle w:val="TableBody"/>
              <w:keepNext w:val="0"/>
            </w:pPr>
            <w:r>
              <w:t>会话</w:t>
            </w:r>
          </w:p>
        </w:tc>
        <w:tc>
          <w:tcPr>
            <w:tcW w:type="dxa" w:w="3397"/>
            <w:vAlign w:val="center"/>
          </w:tcPr>
          <w:p>
            <w:pPr>
              <w:pStyle w:val="TableBody"/>
              <w:keepNext w:val="0"/>
            </w:pPr>
            <w:r>
              <w:t>同一工作区下的一段独立对话及其工具记录</w:t>
            </w:r>
          </w:p>
        </w:tc>
        <w:tc>
          <w:tcPr>
            <w:tcW w:type="dxa" w:w="4718"/>
            <w:vAlign w:val="center"/>
          </w:tcPr>
          <w:p>
            <w:pPr>
              <w:pStyle w:val="TableBody"/>
              <w:keepNext w:val="0"/>
            </w:pPr>
            <w:r>
              <w:t>会话记录由 Harness 保存。同目录里的其他会话也可能修改这里的文件。</w:t>
            </w:r>
          </w:p>
        </w:tc>
      </w:tr>
      <w:tr>
        <w:trPr>
          <w:cantSplit/>
        </w:trPr>
        <w:tc>
          <w:tcPr>
            <w:tcW w:type="dxa" w:w="1764"/>
            <w:vAlign w:val="center"/>
          </w:tcPr>
          <w:p>
            <w:pPr>
              <w:pStyle w:val="TableBody"/>
              <w:keepNext w:val="0"/>
            </w:pPr>
            <w:r>
              <w:t>文件</w:t>
            </w:r>
          </w:p>
        </w:tc>
        <w:tc>
          <w:tcPr>
            <w:tcW w:type="dxa" w:w="3397"/>
            <w:vAlign w:val="center"/>
          </w:tcPr>
          <w:p>
            <w:pPr>
              <w:pStyle w:val="TableBody"/>
              <w:keepNext w:val="0"/>
            </w:pPr>
            <w:r>
              <w:t>纪要、数据、代码、写完的草稿</w:t>
            </w:r>
          </w:p>
        </w:tc>
        <w:tc>
          <w:tcPr>
            <w:tcW w:type="dxa" w:w="4718"/>
            <w:vAlign w:val="center"/>
          </w:tcPr>
          <w:p>
            <w:pPr>
              <w:pStyle w:val="TableBody"/>
              <w:keepNext w:val="0"/>
            </w:pPr>
            <w:r>
              <w:t>本地工具创建的文件可以用系统文件管理器打开。移除工作区登记不会删除磁盘上的文件。</w:t>
            </w:r>
          </w:p>
        </w:tc>
      </w:tr>
    </w:tbl>
    <w:p>
      <w:pPr>
        <w:pStyle w:val="Heading3"/>
      </w:pPr>
      <w:r>
        <w:t>从已有目录开始</w:t>
      </w:r>
    </w:p>
    <w:p>
      <w:pPr>
        <w:pStyle w:val="Procedure"/>
        <w:numPr>
          <w:ilvl w:val="0"/>
          <w:numId w:val="23"/>
        </w:numPr>
        <w:ind w:left="461" w:hanging="461"/>
      </w:pPr>
      <w:r>
        <w:t>先用系统文件管理器新建一个普通目录，例如「读书会」，在里面放一份可以交给模型处理的材料。项目无需先建 Git 仓库。</w:t>
      </w:r>
    </w:p>
    <w:p>
      <w:pPr>
        <w:pStyle w:val="Procedure"/>
        <w:numPr>
          <w:ilvl w:val="0"/>
          <w:numId w:val="23"/>
        </w:numPr>
        <w:ind w:left="461" w:hanging="461"/>
      </w:pPr>
      <w:r>
        <w:t>打开 Harness。若已经看见默认工作区，可从侧栏选「添加工作区」；若界面尚无选中的工作区，可从「选择工作区」进入，再添加目录。</w:t>
      </w:r>
    </w:p>
    <w:p>
      <w:pPr>
        <w:pStyle w:val="Procedure"/>
        <w:numPr>
          <w:ilvl w:val="0"/>
          <w:numId w:val="23"/>
        </w:numPr>
        <w:ind w:left="461" w:hanging="461"/>
      </w:pPr>
      <w:r>
        <w:t>选中含材料的那个目录。启动服务的目录和当前选择可能不同；远程服务选择的是服务所在机器的目录。查看当前名称和路径，再在该工作区内打开会话。</w:t>
      </w:r>
    </w:p>
    <w:p>
      <w:pPr>
        <w:pStyle w:val="Procedure"/>
        <w:numPr>
          <w:ilvl w:val="0"/>
          <w:numId w:val="23"/>
        </w:numPr>
        <w:ind w:left="461" w:hanging="461"/>
      </w:pPr>
      <w:r>
        <w:t>要求把纪要保存为工作区里的 meeting-summary.md。展开工具返回，核对实际路径，再用文件管理器打开该文件。只有一段聊天回复时，磁盘上未必已经有文件。</w:t>
      </w:r>
    </w:p>
    <w:p>
      <w:pPr>
        <w:pStyle w:val="Heading3"/>
      </w:pPr>
      <w:r>
        <w:t>读、写和编辑分别做什么</w:t>
      </w:r>
    </w:p>
    <w:p>
      <w:r>
        <w:t>随附配置会保护旧内容。改写已有文件前通常要先成功读取，读过之后若有其他程序改了文件，需要重新读取最新版本再改。这个检查与沙箱拒绝越界写入是不同原因。</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196"/>
        <w:gridCol w:w="3312"/>
        <w:gridCol w:w="4371"/>
      </w:tblGrid>
      <w:tr>
        <w:trPr>
          <w:cantSplit/>
          <w:tblHeader w:val="true"/>
        </w:trPr>
        <w:tc>
          <w:tcPr>
            <w:tcW w:type="dxa" w:w="2196"/>
            <w:vAlign w:val="center"/>
            <w:shd w:fill="DCE8EE" w:val="clear"/>
          </w:tcPr>
          <w:p>
            <w:pPr>
              <w:pStyle w:val="TableBody"/>
              <w:keepNext/>
            </w:pPr>
            <w:r>
              <w:rPr>
                <w:b/>
                <w:color w:val="000000"/>
              </w:rPr>
              <w:t>工具动作</w:t>
            </w:r>
          </w:p>
        </w:tc>
        <w:tc>
          <w:tcPr>
            <w:tcW w:type="dxa" w:w="3312"/>
            <w:vAlign w:val="center"/>
            <w:shd w:fill="DCE8EE" w:val="clear"/>
          </w:tcPr>
          <w:p>
            <w:pPr>
              <w:pStyle w:val="TableBody"/>
              <w:keepNext/>
            </w:pPr>
            <w:r>
              <w:rPr>
                <w:b/>
                <w:color w:val="000000"/>
              </w:rPr>
              <w:t>适合的情况</w:t>
            </w:r>
          </w:p>
        </w:tc>
        <w:tc>
          <w:tcPr>
            <w:tcW w:type="dxa" w:w="4371"/>
            <w:vAlign w:val="center"/>
            <w:shd w:fill="DCE8EE" w:val="clear"/>
          </w:tcPr>
          <w:p>
            <w:pPr>
              <w:pStyle w:val="TableBody"/>
              <w:keepNext/>
            </w:pPr>
            <w:r>
              <w:rPr>
                <w:b/>
                <w:color w:val="000000"/>
              </w:rPr>
              <w:t>如何核对</w:t>
            </w:r>
          </w:p>
        </w:tc>
      </w:tr>
      <w:tr>
        <w:trPr>
          <w:cantSplit/>
        </w:trPr>
        <w:tc>
          <w:tcPr>
            <w:tcW w:type="dxa" w:w="2196"/>
            <w:vAlign w:val="center"/>
          </w:tcPr>
          <w:p>
            <w:pPr>
              <w:pStyle w:val="TableBody"/>
              <w:keepNext w:val="0"/>
            </w:pPr>
            <w:r>
              <w:t>read 读取</w:t>
            </w:r>
          </w:p>
        </w:tc>
        <w:tc>
          <w:tcPr>
            <w:tcW w:type="dxa" w:w="3312"/>
            <w:vAlign w:val="center"/>
          </w:tcPr>
          <w:p>
            <w:pPr>
              <w:pStyle w:val="TableBody"/>
              <w:keepNext w:val="0"/>
            </w:pPr>
            <w:r>
              <w:t>先读取现有文本的一段或全部。长文件可能分段返回。</w:t>
            </w:r>
          </w:p>
        </w:tc>
        <w:tc>
          <w:tcPr>
            <w:tcW w:type="dxa" w:w="4371"/>
            <w:vAlign w:val="center"/>
          </w:tcPr>
          <w:p>
            <w:pPr>
              <w:pStyle w:val="TableBody"/>
              <w:keepNext w:val="0"/>
            </w:pPr>
            <w:r>
              <w:t>核对结果开头的文件路径与行号。若有截断提示，再要求读取后续部分。</w:t>
            </w:r>
          </w:p>
        </w:tc>
      </w:tr>
      <w:tr>
        <w:trPr>
          <w:cantSplit/>
        </w:trPr>
        <w:tc>
          <w:tcPr>
            <w:tcW w:type="dxa" w:w="2196"/>
            <w:vAlign w:val="center"/>
          </w:tcPr>
          <w:p>
            <w:pPr>
              <w:pStyle w:val="TableBody"/>
              <w:keepNext w:val="0"/>
            </w:pPr>
            <w:r>
              <w:t>write 写入</w:t>
            </w:r>
          </w:p>
        </w:tc>
        <w:tc>
          <w:tcPr>
            <w:tcW w:type="dxa" w:w="3312"/>
            <w:vAlign w:val="center"/>
          </w:tcPr>
          <w:p>
            <w:pPr>
              <w:pStyle w:val="TableBody"/>
              <w:keepNext w:val="0"/>
            </w:pPr>
            <w:r>
              <w:t>新建文本文件，或用新内容整体替换现有文件。</w:t>
            </w:r>
          </w:p>
        </w:tc>
        <w:tc>
          <w:tcPr>
            <w:tcW w:type="dxa" w:w="4371"/>
            <w:vAlign w:val="center"/>
          </w:tcPr>
          <w:p>
            <w:pPr>
              <w:pStyle w:val="TableBody"/>
              <w:keepNext w:val="0"/>
            </w:pPr>
            <w:r>
              <w:t>第一次整理时给输出起个新文件名。工具返回创建或更新状态后，再打开成品。</w:t>
            </w:r>
          </w:p>
        </w:tc>
      </w:tr>
      <w:tr>
        <w:trPr>
          <w:cantSplit/>
        </w:trPr>
        <w:tc>
          <w:tcPr>
            <w:tcW w:type="dxa" w:w="2196"/>
            <w:vAlign w:val="center"/>
          </w:tcPr>
          <w:p>
            <w:pPr>
              <w:pStyle w:val="TableBody"/>
              <w:keepNext w:val="0"/>
            </w:pPr>
            <w:r>
              <w:t>edit 编辑</w:t>
            </w:r>
          </w:p>
        </w:tc>
        <w:tc>
          <w:tcPr>
            <w:tcW w:type="dxa" w:w="3312"/>
            <w:vAlign w:val="center"/>
          </w:tcPr>
          <w:p>
            <w:pPr>
              <w:pStyle w:val="TableBody"/>
              <w:keepNext w:val="0"/>
            </w:pPr>
            <w:r>
              <w:t>只替换现有文件中的指定文字。</w:t>
            </w:r>
          </w:p>
        </w:tc>
        <w:tc>
          <w:tcPr>
            <w:tcW w:type="dxa" w:w="4371"/>
            <w:vAlign w:val="center"/>
          </w:tcPr>
          <w:p>
            <w:pPr>
              <w:pStyle w:val="TableBody"/>
              <w:keepNext w:val="0"/>
            </w:pPr>
            <w:r>
              <w:t>确认定位的是哪一段。多个位置相同时需要缩小范围，或明确同意修改所有匹配项。</w:t>
            </w:r>
          </w:p>
        </w:tc>
      </w:tr>
    </w:tbl>
    <w:p>
      <w:pPr>
        <w:pStyle w:val="Heading3"/>
      </w:pPr>
      <w:r>
        <w:t>为什么选了一个小目录，仍可能看得到外面？</w:t>
      </w:r>
    </w:p>
    <w:p>
      <w:r>
        <w:t>相对路径通常以当前会话的工作目录为起点。若会话起点是 project，meeting.txt 就是其中的文件，../outside/marker.txt 则指向上一级目录里的另一份文件。</w:t>
      </w:r>
    </w:p>
    <w:p>
      <w:r>
        <w:t>工作区给默认工具提供操作起点，并参与写入边界判断。随附的文件工具允许读取当前系统账户能访问的其他路径。创建小工作区有助于控制日常写入范围；需要隔离私人文件时，可以在独立账户、容器或虚拟机里运行，并只提供必要材料。</w:t>
      </w:r>
    </w:p>
    <w:p>
      <w:pPr>
        <w:keepNext/>
        <w:spacing w:before="60" w:after="40"/>
        <w:jc w:val="center"/>
      </w:pPr>
      <w:r>
        <w:drawing>
          <wp:inline xmlns:a="http://schemas.openxmlformats.org/drawingml/2006/main" xmlns:pic="http://schemas.openxmlformats.org/drawingml/2006/picture">
            <wp:extent cx="4353645" cy="4114799"/>
            <wp:docPr id="4" name="Picture 4" descr="project 中的会议文件和项目外同级 outside 目录之间的关系"/>
            <wp:cNvGraphicFramePr>
              <a:graphicFrameLocks noChangeAspect="1"/>
            </wp:cNvGraphicFramePr>
            <a:graphic>
              <a:graphicData uri="http://schemas.openxmlformats.org/drawingml/2006/picture">
                <pic:pic>
                  <pic:nvPicPr>
                    <pic:cNvPr id="0" name="boundary.png"/>
                    <pic:cNvPicPr/>
                  </pic:nvPicPr>
                  <pic:blipFill>
                    <a:blip r:embed="rId51"/>
                    <a:stretch>
                      <a:fillRect/>
                    </a:stretch>
                  </pic:blipFill>
                  <pic:spPr>
                    <a:xfrm>
                      <a:off x="0" y="0"/>
                      <a:ext cx="4353645" cy="4114799"/>
                    </a:xfrm>
                    <a:prstGeom prst="rect"/>
                  </pic:spPr>
                </pic:pic>
              </a:graphicData>
            </a:graphic>
          </wp:inline>
        </w:drawing>
      </w:r>
    </w:p>
    <w:p>
      <w:pPr>
        <w:pStyle w:val="ManuscriptMeta"/>
        <w:jc w:val="center"/>
      </w:pPr>
      <w:r>
        <w:t>图 4　会话从 project 开始。读取范围与写入范围要分别检验。</w:t>
      </w:r>
    </w:p>
    <w:p>
      <w:pPr>
        <w:pStyle w:val="SourceLine"/>
      </w:pPr>
      <w:r>
        <w:rPr>
          <w:b/>
        </w:rPr>
        <w:t xml:space="preserve">资料出处　</w:t>
      </w:r>
      <w:hyperlink r:id="rId52">
        <w:r>
          <w:rPr>
            <w:color w:val="245A79"/>
            <w:u w:val="single"/>
          </w:rPr>
          <w:t>官方工作区选择与首次启动说明</w:t>
        </w:r>
      </w:hyperlink>
      <w:r>
        <w:t xml:space="preserve">  ｜  </w:t>
      </w:r>
      <w:hyperlink r:id="rId53">
        <w:r>
          <w:rPr>
            <w:color w:val="245A79"/>
            <w:u w:val="single"/>
          </w:rPr>
          <w:t>默认工作区初始化与手动选择</w:t>
        </w:r>
      </w:hyperlink>
      <w:r>
        <w:t xml:space="preserve">  ｜  </w:t>
      </w:r>
      <w:hyperlink r:id="rId54">
        <w:r>
          <w:rPr>
            <w:color w:val="245A79"/>
            <w:u w:val="single"/>
          </w:rPr>
          <w:t>工作区登记及移除的影响</w:t>
        </w:r>
      </w:hyperlink>
      <w:r>
        <w:t xml:space="preserve">  ｜  </w:t>
      </w:r>
      <w:hyperlink r:id="rId55">
        <w:r>
          <w:rPr>
            <w:color w:val="245A79"/>
            <w:u w:val="single"/>
          </w:rPr>
          <w:t>文件工具格式、读取和编辑保护</w:t>
        </w:r>
      </w:hyperlink>
      <w:r>
        <w:t xml:space="preserve">  ｜  </w:t>
      </w:r>
      <w:hyperlink r:id="rId56">
        <w:r>
          <w:rPr>
            <w:color w:val="245A79"/>
            <w:u w:val="single"/>
          </w:rPr>
          <w:t>会话工作区与权限根目录源码</w:t>
        </w:r>
      </w:hyperlink>
      <w:r>
        <w:t xml:space="preserve">  ｜  </w:t>
      </w:r>
      <w:hyperlink r:id="rId57">
        <w:r>
          <w:rPr>
            <w:color w:val="245A79"/>
            <w:u w:val="single"/>
          </w:rPr>
          <w:t>文件写入前的路径与权限检查源码</w:t>
        </w:r>
      </w:hyperlink>
    </w:p>
    <w:p>
      <w:pPr>
        <w:pStyle w:val="Heading2"/>
      </w:pPr>
      <w:r>
        <w:t>看懂权限按钮和批准请求</w:t>
      </w:r>
    </w:p>
    <w:p>
      <w:pPr>
        <w:pStyle w:val="ManuscriptLead"/>
      </w:pPr>
      <w:r>
        <w:t>权限按钮决定工具按什么范围工作。一次审批处理的是眼前那项操作。看到批准卡片时，先对照要改的文件或要执行的命令。</w:t>
      </w:r>
    </w:p>
    <w:p>
      <w:pPr>
        <w:pStyle w:val="Heading3"/>
      </w:pPr>
      <w:r>
        <w:t>怎样确认当前会话的权限</w:t>
      </w:r>
    </w:p>
    <w:p>
      <w:r>
        <w:t>在 Web 会话输入区找权限控件，或输入 /permission 调出列表。这里只切换当前会话。通用设置中的权限默认值只影响以后新建的会话。以下名称对应官方 dsh-v0.2.1-rc.5 的默认 Web 配置。</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979"/>
        <w:gridCol w:w="3899"/>
        <w:gridCol w:w="3000"/>
      </w:tblGrid>
      <w:tr>
        <w:trPr>
          <w:cantSplit/>
          <w:tblHeader w:val="true"/>
        </w:trPr>
        <w:tc>
          <w:tcPr>
            <w:tcW w:type="dxa" w:w="2979"/>
            <w:vAlign w:val="center"/>
            <w:shd w:fill="DCE8EE" w:val="clear"/>
          </w:tcPr>
          <w:p>
            <w:pPr>
              <w:pStyle w:val="TableBody"/>
              <w:keepNext/>
            </w:pPr>
            <w:r>
              <w:rPr>
                <w:b/>
                <w:color w:val="000000"/>
              </w:rPr>
              <w:t>界面名称</w:t>
            </w:r>
          </w:p>
        </w:tc>
        <w:tc>
          <w:tcPr>
            <w:tcW w:type="dxa" w:w="3899"/>
            <w:vAlign w:val="center"/>
            <w:shd w:fill="DCE8EE" w:val="clear"/>
          </w:tcPr>
          <w:p>
            <w:pPr>
              <w:pStyle w:val="TableBody"/>
              <w:keepNext/>
            </w:pPr>
            <w:r>
              <w:rPr>
                <w:b/>
                <w:color w:val="000000"/>
              </w:rPr>
              <w:t>日常读写</w:t>
            </w:r>
          </w:p>
        </w:tc>
        <w:tc>
          <w:tcPr>
            <w:tcW w:type="dxa" w:w="3000"/>
            <w:vAlign w:val="center"/>
            <w:shd w:fill="DCE8EE" w:val="clear"/>
          </w:tcPr>
          <w:p>
            <w:pPr>
              <w:pStyle w:val="TableBody"/>
              <w:keepNext/>
            </w:pPr>
            <w:r>
              <w:rPr>
                <w:b/>
                <w:color w:val="000000"/>
              </w:rPr>
              <w:t>适合什么时候用</w:t>
            </w:r>
          </w:p>
        </w:tc>
      </w:tr>
      <w:tr>
        <w:trPr>
          <w:cantSplit/>
        </w:trPr>
        <w:tc>
          <w:tcPr>
            <w:tcW w:type="dxa" w:w="2979"/>
            <w:vAlign w:val="center"/>
          </w:tcPr>
          <w:p>
            <w:pPr>
              <w:pStyle w:val="TableBody"/>
              <w:keepNext w:val="0"/>
            </w:pPr>
            <w:r>
              <w:t>仅可查看（read-only）</w:t>
            </w:r>
          </w:p>
        </w:tc>
        <w:tc>
          <w:tcPr>
            <w:tcW w:type="dxa" w:w="3899"/>
            <w:vAlign w:val="center"/>
          </w:tcPr>
          <w:p>
            <w:pPr>
              <w:pStyle w:val="TableBody"/>
              <w:keepNext w:val="0"/>
            </w:pPr>
            <w:r>
              <w:t>文件工具允许读，拒绝普通文件写入；受限命令也按只读规则运行。</w:t>
            </w:r>
          </w:p>
        </w:tc>
        <w:tc>
          <w:tcPr>
            <w:tcW w:type="dxa" w:w="3000"/>
            <w:vAlign w:val="center"/>
          </w:tcPr>
          <w:p>
            <w:pPr>
              <w:pStyle w:val="TableBody"/>
              <w:keepNext w:val="0"/>
            </w:pPr>
            <w:r>
              <w:t>让它读一份材料或了解代码时。</w:t>
            </w:r>
          </w:p>
        </w:tc>
      </w:tr>
      <w:tr>
        <w:trPr>
          <w:cantSplit/>
        </w:trPr>
        <w:tc>
          <w:tcPr>
            <w:tcW w:type="dxa" w:w="2979"/>
            <w:vAlign w:val="center"/>
          </w:tcPr>
          <w:p>
            <w:pPr>
              <w:pStyle w:val="TableBody"/>
              <w:keepNext w:val="0"/>
            </w:pPr>
            <w:r>
              <w:t>工作区内修改（workspace-write）</w:t>
            </w:r>
          </w:p>
        </w:tc>
        <w:tc>
          <w:tcPr>
            <w:tcW w:type="dxa" w:w="3899"/>
            <w:vAlign w:val="center"/>
          </w:tcPr>
          <w:p>
            <w:pPr>
              <w:pStyle w:val="TableBody"/>
              <w:keepNext w:val="0"/>
            </w:pPr>
            <w:r>
              <w:t>一般可在选定项目内创建、修改文件。平台临时区域也可能可写。写入其他目录通常会受到限制。</w:t>
            </w:r>
          </w:p>
        </w:tc>
        <w:tc>
          <w:tcPr>
            <w:tcW w:type="dxa" w:w="3000"/>
            <w:vAlign w:val="center"/>
          </w:tcPr>
          <w:p>
            <w:pPr>
              <w:pStyle w:val="TableBody"/>
              <w:keepNext w:val="0"/>
            </w:pPr>
            <w:r>
              <w:t>在小项目里修改自己的文件。这是该版随附配置的默认值。</w:t>
            </w:r>
          </w:p>
        </w:tc>
      </w:tr>
      <w:tr>
        <w:trPr>
          <w:cantSplit/>
        </w:trPr>
        <w:tc>
          <w:tcPr>
            <w:tcW w:type="dxa" w:w="2979"/>
            <w:vAlign w:val="center"/>
          </w:tcPr>
          <w:p>
            <w:pPr>
              <w:pStyle w:val="TableBody"/>
              <w:keepNext w:val="0"/>
            </w:pPr>
            <w:r>
              <w:t>完全权限（danger-full-access）</w:t>
            </w:r>
          </w:p>
        </w:tc>
        <w:tc>
          <w:tcPr>
            <w:tcW w:type="dxa" w:w="3899"/>
            <w:vAlign w:val="center"/>
          </w:tcPr>
          <w:p>
            <w:pPr>
              <w:pStyle w:val="TableBody"/>
              <w:keepNext w:val="0"/>
            </w:pPr>
            <w:r>
              <w:t>相关工具取消 Harness 这层文件沙箱限制，仍受操作系统账户权限约束。</w:t>
            </w:r>
          </w:p>
        </w:tc>
        <w:tc>
          <w:tcPr>
            <w:tcW w:type="dxa" w:w="3000"/>
            <w:vAlign w:val="center"/>
          </w:tcPr>
          <w:p>
            <w:pPr>
              <w:pStyle w:val="TableBody"/>
              <w:keepNext w:val="0"/>
            </w:pPr>
            <w:r>
              <w:t>它覆盖的范围远大于单个文件。本页实验无需使用。</w:t>
            </w:r>
          </w:p>
        </w:tc>
      </w:tr>
    </w:tbl>
    <w:p>
      <w:pPr>
        <w:pStyle w:val="Heading3"/>
      </w:pPr>
      <w:r>
        <w:t>为什么有时会问，有时直接写了？</w:t>
      </w:r>
    </w:p>
    <w:p>
      <w:r>
        <w:t>常规项目内写入在「工作区内修改」下通常无需逐次弹窗。对受限操作，工具可以报告拒绝，模型也可能为同一操作申请仅本次扩大权限。许可请求显示理由；若是命令，还要看完整命令、工作目录、目标路径及其可能影响的文件。</w:t>
      </w:r>
    </w:p>
    <w:p>
      <w:r>
        <w:t>选择拒绝后，本次扩大权限的请求不会获得许可。审批取消或找不到可用的审批渠道，也不会得到这次授权。拒绝一次与更换整个会话的权限模式有不同影响。</w:t>
      </w:r>
    </w:p>
    <w:p>
      <w:pPr>
        <w:pStyle w:val="ManuscriptMeta"/>
      </w:pPr>
      <w:r>
        <w:t>给开发者看的名称：ask 将实际需要批准的请求交给审批方。never 在审批服务中拒绝此类请求。完全权限预设本身取消了相关文件沙箱，许多操作因此无需发起审批。</w:t>
      </w:r>
    </w:p>
    <w:p>
      <w:pPr>
        <w:pStyle w:val="Heading3"/>
      </w:pPr>
      <w:r>
        <w:t>文件工具与系统命令分别在哪里被检查</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377"/>
        <w:gridCol w:w="3899"/>
        <w:gridCol w:w="3603"/>
      </w:tblGrid>
      <w:tr>
        <w:trPr>
          <w:cantSplit/>
          <w:tblHeader w:val="true"/>
        </w:trPr>
        <w:tc>
          <w:tcPr>
            <w:tcW w:type="dxa" w:w="2377"/>
            <w:vAlign w:val="center"/>
            <w:shd w:fill="DCE8EE" w:val="clear"/>
          </w:tcPr>
          <w:p>
            <w:pPr>
              <w:pStyle w:val="TableBody"/>
              <w:keepNext/>
            </w:pPr>
            <w:r>
              <w:rPr>
                <w:b/>
                <w:color w:val="000000"/>
              </w:rPr>
              <w:t>执行途径</w:t>
            </w:r>
          </w:p>
        </w:tc>
        <w:tc>
          <w:tcPr>
            <w:tcW w:type="dxa" w:w="3899"/>
            <w:vAlign w:val="center"/>
            <w:shd w:fill="DCE8EE" w:val="clear"/>
          </w:tcPr>
          <w:p>
            <w:pPr>
              <w:pStyle w:val="TableBody"/>
              <w:keepNext/>
            </w:pPr>
            <w:r>
              <w:rPr>
                <w:b/>
                <w:color w:val="000000"/>
              </w:rPr>
              <w:t>限制如何生效</w:t>
            </w:r>
          </w:p>
        </w:tc>
        <w:tc>
          <w:tcPr>
            <w:tcW w:type="dxa" w:w="3603"/>
            <w:vAlign w:val="center"/>
            <w:shd w:fill="DCE8EE" w:val="clear"/>
          </w:tcPr>
          <w:p>
            <w:pPr>
              <w:pStyle w:val="TableBody"/>
              <w:keepNext/>
            </w:pPr>
            <w:r>
              <w:rPr>
                <w:b/>
                <w:color w:val="000000"/>
              </w:rPr>
              <w:t>跨平台差别</w:t>
            </w:r>
          </w:p>
        </w:tc>
      </w:tr>
      <w:tr>
        <w:trPr>
          <w:cantSplit/>
        </w:trPr>
        <w:tc>
          <w:tcPr>
            <w:tcW w:type="dxa" w:w="2377"/>
            <w:vAlign w:val="center"/>
          </w:tcPr>
          <w:p>
            <w:pPr>
              <w:pStyle w:val="TableBody"/>
              <w:keepNext w:val="0"/>
            </w:pPr>
            <w:r>
              <w:t>read / write / edit</w:t>
            </w:r>
          </w:p>
        </w:tc>
        <w:tc>
          <w:tcPr>
            <w:tcW w:type="dxa" w:w="3899"/>
            <w:vAlign w:val="center"/>
          </w:tcPr>
          <w:p>
            <w:pPr>
              <w:pStyle w:val="TableBody"/>
              <w:keepNext w:val="0"/>
            </w:pPr>
            <w:r>
              <w:t>文件工具在写入或编辑前检查实际目标路径；读取没有同样的工作区内限制。</w:t>
            </w:r>
          </w:p>
        </w:tc>
        <w:tc>
          <w:tcPr>
            <w:tcW w:type="dxa" w:w="3603"/>
            <w:vAlign w:val="center"/>
          </w:tcPr>
          <w:p>
            <w:pPr>
              <w:pStyle w:val="TableBody"/>
              <w:keepNext w:val="0"/>
            </w:pPr>
            <w:r>
              <w:t>需要系统账户能访问目标。文件系统权限仍可阻止读或写。</w:t>
            </w:r>
          </w:p>
        </w:tc>
      </w:tr>
      <w:tr>
        <w:trPr>
          <w:cantSplit/>
        </w:trPr>
        <w:tc>
          <w:tcPr>
            <w:tcW w:type="dxa" w:w="2377"/>
            <w:vAlign w:val="center"/>
          </w:tcPr>
          <w:p>
            <w:pPr>
              <w:pStyle w:val="TableBody"/>
              <w:keepNext w:val="0"/>
            </w:pPr>
            <w:r>
              <w:t>Linux Bash</w:t>
            </w:r>
          </w:p>
        </w:tc>
        <w:tc>
          <w:tcPr>
            <w:tcW w:type="dxa" w:w="3899"/>
            <w:vAlign w:val="center"/>
          </w:tcPr>
          <w:p>
            <w:pPr>
              <w:pStyle w:val="TableBody"/>
              <w:keepNext w:val="0"/>
            </w:pPr>
            <w:r>
              <w:t>默认执行器优先尝试 bubblewrap，其次尝试 Landlock。受限命令的文件写入依后端规则执行。</w:t>
            </w:r>
          </w:p>
        </w:tc>
        <w:tc>
          <w:tcPr>
            <w:tcW w:type="dxa" w:w="3603"/>
            <w:vAlign w:val="center"/>
          </w:tcPr>
          <w:p>
            <w:pPr>
              <w:pStyle w:val="TableBody"/>
              <w:keepNext w:val="0"/>
            </w:pPr>
            <w:r>
              <w:t>bubblewrap 的 /tmp 可为该命令单独提供；旧 Linux 内核上的 Landlock 可能只覆盖部分文件操作。</w:t>
            </w:r>
          </w:p>
        </w:tc>
      </w:tr>
      <w:tr>
        <w:trPr>
          <w:cantSplit/>
        </w:trPr>
        <w:tc>
          <w:tcPr>
            <w:tcW w:type="dxa" w:w="2377"/>
            <w:vAlign w:val="center"/>
          </w:tcPr>
          <w:p>
            <w:pPr>
              <w:pStyle w:val="TableBody"/>
              <w:keepNext w:val="0"/>
            </w:pPr>
            <w:r>
              <w:t>macOS Bash</w:t>
            </w:r>
          </w:p>
        </w:tc>
        <w:tc>
          <w:tcPr>
            <w:tcW w:type="dxa" w:w="3899"/>
            <w:vAlign w:val="center"/>
          </w:tcPr>
          <w:p>
            <w:pPr>
              <w:pStyle w:val="TableBody"/>
              <w:keepNext w:val="0"/>
            </w:pPr>
            <w:r>
              <w:t>使用 Seatbelt（sandbox-exec）限制文件写入，保留规则允许的临时目录。</w:t>
            </w:r>
          </w:p>
        </w:tc>
        <w:tc>
          <w:tcPr>
            <w:tcW w:type="dxa" w:w="3603"/>
            <w:vAlign w:val="center"/>
          </w:tcPr>
          <w:p>
            <w:pPr>
              <w:pStyle w:val="TableBody"/>
              <w:keepNext w:val="0"/>
            </w:pPr>
            <w:r>
              <w:t>受限后端不可用时，命令可能在启动前失败。</w:t>
            </w:r>
          </w:p>
        </w:tc>
      </w:tr>
      <w:tr>
        <w:trPr>
          <w:cantSplit/>
        </w:trPr>
        <w:tc>
          <w:tcPr>
            <w:tcW w:type="dxa" w:w="2377"/>
            <w:vAlign w:val="center"/>
          </w:tcPr>
          <w:p>
            <w:pPr>
              <w:pStyle w:val="TableBody"/>
              <w:keepNext w:val="0"/>
            </w:pPr>
            <w:r>
              <w:t>Windows PowerShell</w:t>
            </w:r>
          </w:p>
        </w:tc>
        <w:tc>
          <w:tcPr>
            <w:tcW w:type="dxa" w:w="3899"/>
            <w:vAlign w:val="center"/>
          </w:tcPr>
          <w:p>
            <w:pPr>
              <w:pStyle w:val="TableBody"/>
              <w:keepNext w:val="0"/>
            </w:pPr>
            <w:r>
              <w:t>随附配置调用 PowerShell；Windows 受限令牌和访问控制规则负责限制写入。</w:t>
            </w:r>
          </w:p>
        </w:tc>
        <w:tc>
          <w:tcPr>
            <w:tcW w:type="dxa" w:w="3603"/>
            <w:vAlign w:val="center"/>
          </w:tcPr>
          <w:p>
            <w:pPr>
              <w:pStyle w:val="TableBody"/>
              <w:keepNext w:val="0"/>
            </w:pPr>
            <w:r>
              <w:t>官方标明是部分执行，尤其涉及硬链接和系统访问控制，不能据此断言每台电脑效果相同。</w:t>
            </w:r>
          </w:p>
        </w:tc>
      </w:tr>
    </w:tbl>
    <w:p>
      <w:pPr>
        <w:pStyle w:val="Heading3"/>
      </w:pPr>
      <w:r>
        <w:t>怎样阅读拒绝信息</w:t>
      </w:r>
    </w:p>
    <w:p>
      <w:r>
        <w:t>提示 file access denied under workspace-write 时，先核对目标是否在所选工作区外。提示 file has not been read 或要求 re-read 时，先读最新版本，避免覆盖人工修改。出现 SANDBOX_UNAVAILABLE 通常表示无法启动可用的受限后端，这次命令未按请求运行。</w:t>
      </w:r>
    </w:p>
    <w:p>
      <w:r>
        <w:t>文件沙箱关注文件影响。它没有承诺封锁网络、凭据访问或所有插件行为。对于不熟悉的代码，官方建议使用专用环境和最小权限。</w:t>
      </w:r>
    </w:p>
    <w:p>
      <w:pPr>
        <w:pStyle w:val="SourceLine"/>
      </w:pPr>
      <w:r>
        <w:rPr>
          <w:b/>
        </w:rPr>
        <w:t xml:space="preserve">资料出处　</w:t>
      </w:r>
      <w:hyperlink r:id="rId58">
        <w:r>
          <w:rPr>
            <w:color w:val="245A79"/>
            <w:u w:val="single"/>
          </w:rPr>
          <w:t>中文版权限控件与新会话默认值</w:t>
        </w:r>
      </w:hyperlink>
      <w:r>
        <w:t xml:space="preserve">  ｜  </w:t>
      </w:r>
      <w:hyperlink r:id="rId59">
        <w:r>
          <w:rPr>
            <w:color w:val="245A79"/>
            <w:u w:val="single"/>
          </w:rPr>
          <w:t>随附配置 · 平台、默认模式与三个权限预设</w:t>
        </w:r>
      </w:hyperlink>
      <w:r>
        <w:t xml:space="preserve">  ｜  </w:t>
      </w:r>
      <w:hyperlink r:id="rId56">
        <w:r>
          <w:rPr>
            <w:color w:val="245A79"/>
            <w:u w:val="single"/>
          </w:rPr>
          <w:t>会话工作区与权限根目录源码</w:t>
        </w:r>
      </w:hyperlink>
      <w:r>
        <w:t xml:space="preserve">  ｜  </w:t>
      </w:r>
      <w:hyperlink r:id="rId57">
        <w:r>
          <w:rPr>
            <w:color w:val="245A79"/>
            <w:u w:val="single"/>
          </w:rPr>
          <w:t>文件写入前的路径与权限检查源码</w:t>
        </w:r>
      </w:hyperlink>
      <w:r>
        <w:t xml:space="preserve">  ｜  </w:t>
      </w:r>
      <w:hyperlink r:id="rId60">
        <w:r>
          <w:rPr>
            <w:color w:val="245A79"/>
            <w:u w:val="single"/>
          </w:rPr>
          <w:t>单次扩大权限的判断与四种答复</w:t>
        </w:r>
      </w:hyperlink>
      <w:r>
        <w:t xml:space="preserve">  ｜  </w:t>
      </w:r>
      <w:hyperlink r:id="rId61">
        <w:r>
          <w:rPr>
            <w:color w:val="245A79"/>
            <w:u w:val="single"/>
          </w:rPr>
          <w:t>审批服务如何处理 ask、never 与缺少处理渠道</w:t>
        </w:r>
      </w:hyperlink>
      <w:r>
        <w:t xml:space="preserve">  ｜  </w:t>
      </w:r>
      <w:hyperlink r:id="rId62">
        <w:r>
          <w:rPr>
            <w:color w:val="245A79"/>
            <w:u w:val="single"/>
          </w:rPr>
          <w:t>Shell 工具 · 各系统执行方式和已知限制</w:t>
        </w:r>
      </w:hyperlink>
      <w:r>
        <w:t xml:space="preserve">  ｜  </w:t>
      </w:r>
      <w:hyperlink r:id="rId63">
        <w:r>
          <w:rPr>
            <w:color w:val="245A79"/>
            <w:u w:val="single"/>
          </w:rPr>
          <w:t>官方安全说明</w:t>
        </w:r>
      </w:hyperlink>
    </w:p>
    <w:p>
      <w:pPr>
        <w:pStyle w:val="Heading2"/>
      </w:pPr>
      <w:r>
        <w:t>动手核对项目外能读什么、能写什么</w:t>
      </w:r>
    </w:p>
    <w:p>
      <w:pPr>
        <w:pStyle w:val="ManuscriptLead"/>
      </w:pPr>
      <w:r>
        <w:t>只用实验包里的虚构材料做对照。你将核对四件事：选了哪个目录、实际用了哪个工具、系统是否拦截、磁盘上有没有新文件。</w:t>
      </w:r>
    </w:p>
    <w:p>
      <w:pPr>
        <w:pStyle w:val="Heading3"/>
      </w:pPr>
      <w:r>
        <w:t>准备两个并列目录</w:t>
      </w:r>
    </w:p>
    <w:p>
      <w:pPr>
        <w:pStyle w:val="Procedure"/>
        <w:numPr>
          <w:ilvl w:val="0"/>
          <w:numId w:val="24"/>
        </w:numPr>
        <w:ind w:left="461" w:hanging="461"/>
      </w:pPr>
      <w:r>
        <w:t>把实验包完整解压到个人文件夹中的新目录，例如「文档/Harness练习」。避免系统临时目录、网络共享盘及包含真实工作资料的目录。</w:t>
      </w:r>
    </w:p>
    <w:p>
      <w:pPr>
        <w:pStyle w:val="Procedure"/>
        <w:numPr>
          <w:ilvl w:val="0"/>
          <w:numId w:val="24"/>
        </w:numPr>
        <w:ind w:left="461" w:hanging="461"/>
      </w:pPr>
      <w:r>
        <w:t>用文件管理器确认根目录里有 project/meeting.txt 和 outside/marker.txt，且 outside/probe.txt 不存在。若已存在，重新解压到另一个新目录。</w:t>
      </w:r>
    </w:p>
    <w:p>
      <w:pPr>
        <w:pStyle w:val="Procedure"/>
        <w:numPr>
          <w:ilvl w:val="0"/>
          <w:numId w:val="24"/>
        </w:numPr>
        <w:ind w:left="461" w:hanging="461"/>
      </w:pPr>
      <w:r>
        <w:t>只选 project 作为 Harness 的工作区。若启动后已有默认工作区，先从「添加工作区」选择 project，进入新会话。若选了整包根目录，outside 也在工作区内，实验就没有了对照。</w:t>
      </w:r>
    </w:p>
    <w:p>
      <w:pPr>
        <w:pStyle w:val="Procedure"/>
        <w:numPr>
          <w:ilvl w:val="0"/>
          <w:numId w:val="24"/>
        </w:numPr>
        <w:ind w:left="461" w:hanging="461"/>
      </w:pPr>
      <w:r>
        <w:t>用输入区权限控件或 /permission 确认当前会话为「工作区内修改」。整个实验保持此模式。</w:t>
      </w:r>
    </w:p>
    <w:p>
      <w:pPr>
        <w:pStyle w:val="ManuscriptMeta"/>
      </w:pPr>
      <w:r>
        <w:t>下面的指令分别发送。在 Web 对话框发送给 Harness，不要在终端里执行。只有在新的测试目录中操作，所有扩大权限的请求一律拒绝。</w:t>
      </w:r>
    </w:p>
    <w:p>
      <w:pPr>
        <w:pStyle w:val="Heading3"/>
      </w:pPr>
      <w:r>
        <w:t>先确认工具正在读哪个目录</w:t>
      </w:r>
    </w:p>
    <w:p>
      <w:r>
        <w:t>展开这一次工具调用，核对实际路径末尾确实是 project/meeting.txt。若未找到，先回到工作区选择界面核对路径。</w:t>
      </w:r>
    </w:p>
    <w:p>
      <w:pPr>
        <w:pStyle w:val="Command"/>
      </w:pPr>
      <w:r>
        <w:t>请使用 read 文件工具读取当前工作区的 meeting.txt。告诉我工具返回的路径与文件第一行，不修改任何文件。</w:t>
      </w:r>
    </w:p>
    <w:p>
      <w:pPr>
        <w:pStyle w:val="Heading3"/>
      </w:pPr>
      <w:r>
        <w:t>读工作区外的虚构标记</w:t>
      </w:r>
    </w:p>
    <w:p>
      <w:r>
        <w:t>在文件管理器中打开 outside/marker.txt，与回答逐字对照。正确值已在附带文件中，指令刻意不包含它。还要看到 read 调用及其目标路径；仅猜对一行文字不足以证明读过文件。</w:t>
      </w:r>
    </w:p>
    <w:p>
      <w:r>
        <w:t>默认文件后端允许在系统账户的读取权限内查看项目外文件。若读取失败，把原始错误保留下来：文件不存在、操作系统拒绝、宿主使用了其他后端，都可能导致失败。</w:t>
      </w:r>
    </w:p>
    <w:p>
      <w:pPr>
        <w:pStyle w:val="Command"/>
      </w:pPr>
      <w:r>
        <w:t>请只用 read 文件工具读取 ../outside/marker.txt，把第一行原样告诉我，并列出工具返回的路径。不使用命令，不申请扩大权限。</w:t>
      </w:r>
    </w:p>
    <w:p>
      <w:pPr>
        <w:pStyle w:val="Heading3"/>
      </w:pPr>
      <w:r>
        <w:t>先做一次项目内的写入</w:t>
      </w:r>
    </w:p>
    <w:p>
      <w:r>
        <w:t>发送指令，展开 write 返回并在文件管理器里打开 project/inside-check.txt。先确认工作区确实可写。</w:t>
      </w:r>
    </w:p>
    <w:p>
      <w:pPr>
        <w:pStyle w:val="Command"/>
      </w:pPr>
      <w:r>
        <w:t>请用 write 文件工具在当前工作区新建 inside-check.txt，内容为 INSIDE-OK。若文件已经存在请停止，不要覆盖。不要使用命令。</w:t>
      </w:r>
    </w:p>
    <w:p>
      <w:pPr>
        <w:pStyle w:val="Heading3"/>
      </w:pPr>
      <w:r>
        <w:t>再尝试在同级目录创建新文件</w:t>
      </w:r>
    </w:p>
    <w:p>
      <w:r>
        <w:t>在文件管理器里再次确认 outside/probe.txt 不存在，再发这条指令。只尝试创建新文件，能避免因保护旧内容触发另一种报错。</w:t>
      </w:r>
    </w:p>
    <w:p>
      <w:pPr>
        <w:pStyle w:val="Command"/>
      </w:pPr>
      <w:r>
        <w:t>../outside/probe.txt 原本不存在。请仅用 write 文件工具尝试新建它，内容为 BOUNDARY-PROBE。若已存在便停止。遇到拒绝立即停止，不要改用命令、申请扩大权限或重试。</w:t>
      </w:r>
    </w:p>
    <w:p>
      <w:pPr>
        <w:pStyle w:val="Heading3"/>
      </w:pPr>
      <w:r>
        <w:t>把工具记录与磁盘结果对起来</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4070"/>
        <w:gridCol w:w="5808"/>
      </w:tblGrid>
      <w:tr>
        <w:trPr>
          <w:cantSplit/>
          <w:tblHeader w:val="true"/>
        </w:trPr>
        <w:tc>
          <w:tcPr>
            <w:tcW w:type="dxa" w:w="4070"/>
            <w:vAlign w:val="center"/>
            <w:shd w:fill="DCE8EE" w:val="clear"/>
          </w:tcPr>
          <w:p>
            <w:pPr>
              <w:pStyle w:val="TableBody"/>
              <w:keepNext/>
            </w:pPr>
            <w:r>
              <w:rPr>
                <w:b/>
                <w:color w:val="000000"/>
              </w:rPr>
              <w:t>观察到什么</w:t>
            </w:r>
          </w:p>
        </w:tc>
        <w:tc>
          <w:tcPr>
            <w:tcW w:type="dxa" w:w="5808"/>
            <w:vAlign w:val="center"/>
            <w:shd w:fill="DCE8EE" w:val="clear"/>
          </w:tcPr>
          <w:p>
            <w:pPr>
              <w:pStyle w:val="TableBody"/>
              <w:keepNext/>
            </w:pPr>
            <w:r>
              <w:rPr>
                <w:b/>
                <w:color w:val="000000"/>
              </w:rPr>
              <w:t>可以得出什么结论</w:t>
            </w:r>
          </w:p>
        </w:tc>
      </w:tr>
      <w:tr>
        <w:trPr>
          <w:cantSplit/>
        </w:trPr>
        <w:tc>
          <w:tcPr>
            <w:tcW w:type="dxa" w:w="4070"/>
            <w:vAlign w:val="center"/>
          </w:tcPr>
          <w:p>
            <w:pPr>
              <w:pStyle w:val="TableBody"/>
              <w:keepNext w:val="0"/>
            </w:pPr>
            <w:r>
              <w:t>read 返回正确标记，write 对 outside 返回沙箱拒绝，probe.txt 不存在。</w:t>
            </w:r>
          </w:p>
        </w:tc>
        <w:tc>
          <w:tcPr>
            <w:tcW w:type="dxa" w:w="5808"/>
            <w:vAlign w:val="center"/>
          </w:tcPr>
          <w:p>
            <w:pPr>
              <w:pStyle w:val="TableBody"/>
              <w:keepNext w:val="0"/>
            </w:pPr>
            <w:r>
              <w:t>本次会话中，读取这个项目外文件可行，而写入这一路径被拒绝。结论只覆盖所选工具和目录。</w:t>
            </w:r>
          </w:p>
        </w:tc>
      </w:tr>
      <w:tr>
        <w:trPr>
          <w:cantSplit/>
        </w:trPr>
        <w:tc>
          <w:tcPr>
            <w:tcW w:type="dxa" w:w="4070"/>
            <w:vAlign w:val="center"/>
          </w:tcPr>
          <w:p>
            <w:pPr>
              <w:pStyle w:val="TableBody"/>
              <w:keepNext w:val="0"/>
            </w:pPr>
            <w:r>
              <w:t>弹出授权请求。</w:t>
            </w:r>
          </w:p>
        </w:tc>
        <w:tc>
          <w:tcPr>
            <w:tcW w:type="dxa" w:w="5808"/>
            <w:vAlign w:val="center"/>
          </w:tcPr>
          <w:p>
            <w:pPr>
              <w:pStyle w:val="TableBody"/>
              <w:keepNext w:val="0"/>
            </w:pPr>
            <w:r>
              <w:t>记下目标与理由并选择拒绝，再确认 probe.txt 不存在。出现请求说明有人试图扩大本次权限；它本身不证明写入已经发生。</w:t>
            </w:r>
          </w:p>
        </w:tc>
      </w:tr>
      <w:tr>
        <w:trPr>
          <w:cantSplit/>
        </w:trPr>
        <w:tc>
          <w:tcPr>
            <w:tcW w:type="dxa" w:w="4070"/>
            <w:vAlign w:val="center"/>
          </w:tcPr>
          <w:p>
            <w:pPr>
              <w:pStyle w:val="TableBody"/>
              <w:keepNext w:val="0"/>
            </w:pPr>
            <w:r>
              <w:t>AI 回复不愿操作，没有 write 工具记录。</w:t>
            </w:r>
          </w:p>
        </w:tc>
        <w:tc>
          <w:tcPr>
            <w:tcW w:type="dxa" w:w="5808"/>
            <w:vAlign w:val="center"/>
          </w:tcPr>
          <w:p>
            <w:pPr>
              <w:pStyle w:val="TableBody"/>
              <w:keepNext w:val="0"/>
            </w:pPr>
            <w:r>
              <w:t>本轮没有实际测到写入边界，可以记录为未执行。</w:t>
            </w:r>
          </w:p>
        </w:tc>
      </w:tr>
      <w:tr>
        <w:trPr>
          <w:cantSplit/>
        </w:trPr>
        <w:tc>
          <w:tcPr>
            <w:tcW w:type="dxa" w:w="4070"/>
            <w:vAlign w:val="center"/>
          </w:tcPr>
          <w:p>
            <w:pPr>
              <w:pStyle w:val="TableBody"/>
              <w:keepNext w:val="0"/>
            </w:pPr>
            <w:r>
              <w:t>probe.txt 出现或内容变化。</w:t>
            </w:r>
          </w:p>
        </w:tc>
        <w:tc>
          <w:tcPr>
            <w:tcW w:type="dxa" w:w="5808"/>
            <w:vAlign w:val="center"/>
          </w:tcPr>
          <w:p>
            <w:pPr>
              <w:pStyle w:val="TableBody"/>
              <w:keepNext w:val="0"/>
            </w:pPr>
            <w:r>
              <w:t>本次实际发生了写入，先停止。记下当前模式、工具名、工作区绝对路径与解压位置；核对是否选了整包、处于临时目录、使用了不同权限或自定义后端。</w:t>
            </w:r>
          </w:p>
        </w:tc>
      </w:tr>
      <w:tr>
        <w:trPr>
          <w:cantSplit/>
        </w:trPr>
        <w:tc>
          <w:tcPr>
            <w:tcW w:type="dxa" w:w="4070"/>
            <w:vAlign w:val="center"/>
          </w:tcPr>
          <w:p>
            <w:pPr>
              <w:pStyle w:val="TableBody"/>
              <w:keepNext w:val="0"/>
            </w:pPr>
            <w:r>
              <w:t>报错只是找不到文件，或显示执行后端不可用。</w:t>
            </w:r>
          </w:p>
        </w:tc>
        <w:tc>
          <w:tcPr>
            <w:tcW w:type="dxa" w:w="5808"/>
            <w:vAlign w:val="center"/>
          </w:tcPr>
          <w:p>
            <w:pPr>
              <w:pStyle w:val="TableBody"/>
              <w:keepNext w:val="0"/>
            </w:pPr>
            <w:r>
              <w:t>分别核对文件名、所选工作区和具体报错。这两种故障都不能证明项目外写入已被沙箱拦截。</w:t>
            </w:r>
          </w:p>
        </w:tc>
      </w:tr>
    </w:tbl>
    <w:p>
      <w:pPr>
        <w:pStyle w:val="Heading3"/>
      </w:pPr>
      <w:r>
        <w:t>为什么这组实验只指定文件工具</w:t>
      </w:r>
    </w:p>
    <w:p>
      <w:r>
        <w:t>Bash、PowerShell 和文件工具的执行路径不同。要验证 Shell，另开新目录，记录实际命令、系统和沙箱后端；不能把 read / write 的结果当作某台 Windows 或 macOS 电脑上命令执行的测量值。</w:t>
      </w:r>
    </w:p>
    <w:p>
      <w:r>
        <w:t>本页判断依据包含已运行的源码模块检查。在 Linux 的非系统临时目录，用 rc.5 原始路径函数核验了内外目录的判定，用受控的拒绝回调检查了单次扩大权限的处理。该检查没有调用在线模型或打开桌面客户端，上述按钮与磁盘结果仍应在你的机器上实际观察。</w:t>
      </w:r>
    </w:p>
    <w:p>
      <w:pPr>
        <w:pStyle w:val="SourceLine"/>
      </w:pPr>
      <w:r>
        <w:rPr>
          <w:b/>
        </w:rPr>
        <w:t xml:space="preserve">资料出处　</w:t>
      </w:r>
      <w:hyperlink r:id="rId57">
        <w:r>
          <w:rPr>
            <w:color w:val="245A79"/>
            <w:u w:val="single"/>
          </w:rPr>
          <w:t>文件写入前的路径与权限检查源码</w:t>
        </w:r>
      </w:hyperlink>
      <w:r>
        <w:t xml:space="preserve">  ｜  </w:t>
      </w:r>
      <w:hyperlink r:id="rId64">
        <w:r>
          <w:rPr>
            <w:color w:val="245A79"/>
            <w:u w:val="single"/>
          </w:rPr>
          <w:t>官方测试 · 读写、同级目录和符号链接</w:t>
        </w:r>
      </w:hyperlink>
      <w:r>
        <w:t xml:space="preserve">  ｜  </w:t>
      </w:r>
      <w:hyperlink r:id="rId65">
        <w:r>
          <w:rPr>
            <w:color w:val="245A79"/>
            <w:u w:val="single"/>
          </w:rPr>
          <w:t>平台临时目录怎样进入可写列表</w:t>
        </w:r>
      </w:hyperlink>
      <w:r>
        <w:t xml:space="preserve">  ｜  </w:t>
      </w:r>
      <w:hyperlink r:id="rId60">
        <w:r>
          <w:rPr>
            <w:color w:val="245A79"/>
            <w:u w:val="single"/>
          </w:rPr>
          <w:t>单次扩大权限的判断与四种答复</w:t>
        </w:r>
      </w:hyperlink>
      <w:r>
        <w:t xml:space="preserve">  ｜  </w:t>
      </w:r>
      <w:hyperlink r:id="rId66">
        <w:r>
          <w:rPr>
            <w:color w:val="245A79"/>
            <w:u w:val="single"/>
          </w:rPr>
          <w:t>Linux bubblewrap 官方端到端测试</w:t>
        </w:r>
      </w:hyperlink>
      <w:r>
        <w:t xml:space="preserve">  ｜  </w:t>
      </w:r>
      <w:hyperlink r:id="rId67">
        <w:r>
          <w:rPr>
            <w:color w:val="245A79"/>
            <w:u w:val="single"/>
          </w:rPr>
          <w:t>macOS Seatbelt 官方端到端测试</w:t>
        </w:r>
      </w:hyperlink>
      <w:r>
        <w:t xml:space="preserve">  ｜  </w:t>
      </w:r>
      <w:hyperlink r:id="rId62">
        <w:r>
          <w:rPr>
            <w:color w:val="245A79"/>
            <w:u w:val="single"/>
          </w:rPr>
          <w:t>Shell 工具 · 各系统执行方式和已知限制</w:t>
        </w:r>
      </w:hyperlink>
    </w:p>
    <w:p>
      <w:pPr>
        <w:pStyle w:val="Heading1"/>
      </w:pPr>
      <w:bookmarkStart w:id="4" w:name="part4"/>
      <w:r>
        <w:t>复盘与录制</w:t>
      </w:r>
      <w:bookmarkEnd w:id="4"/>
    </w:p>
    <w:p>
      <w:pPr>
        <w:pStyle w:val="ManuscriptLead"/>
        <w:keepNext/>
      </w:pPr>
      <w:r>
        <w:t>还原一次任务，准备视频演示，区分来源与实测结果。</w:t>
      </w:r>
    </w:p>
    <w:p>
      <w:pPr>
        <w:pStyle w:val="Heading2"/>
      </w:pPr>
      <w:r>
        <w:t>从工具记录找到出错的那一步</w:t>
      </w:r>
    </w:p>
    <w:p>
      <w:pPr>
        <w:pStyle w:val="ManuscriptLead"/>
      </w:pPr>
      <w:r>
        <w:t>培训中常有人遇到这种情况：回复写着“已经完成”，可报名页没有变。先把一次任务拆回收到的要求、读取的材料、写入的位置和实际打开的文件。</w:t>
      </w:r>
    </w:p>
    <w:p>
      <w:pPr>
        <w:pStyle w:val="Heading3"/>
      </w:pPr>
      <w:r>
        <w:t>沿着一轮任务向后查</w:t>
      </w:r>
    </w:p>
    <w:p>
      <w:pPr>
        <w:pStyle w:val="Procedure"/>
        <w:numPr>
          <w:ilvl w:val="0"/>
          <w:numId w:val="25"/>
        </w:numPr>
        <w:ind w:left="461" w:hanging="461"/>
      </w:pPr>
      <w:r>
        <w:t>在会话里找到导致这个回答的那条消息，展开工具动作。版本提供运行轨迹时，可以进一步查看每一步的工具名、参数和返回。</w:t>
      </w:r>
    </w:p>
    <w:p>
      <w:pPr>
        <w:pStyle w:val="Procedure"/>
        <w:numPr>
          <w:ilvl w:val="0"/>
          <w:numId w:val="25"/>
        </w:numPr>
        <w:ind w:left="461" w:hanging="461"/>
      </w:pPr>
      <w:r>
        <w:t>先找读取原文的那步。路径是否是当前工作区的 meeting.txt？是否返回了包含内测时间的行？读错文件时，先纠正输入。</w:t>
      </w:r>
    </w:p>
    <w:p>
      <w:pPr>
        <w:pStyle w:val="Procedure"/>
        <w:numPr>
          <w:ilvl w:val="0"/>
          <w:numId w:val="25"/>
        </w:numPr>
        <w:ind w:left="461" w:hanging="461"/>
      </w:pPr>
      <w:r>
        <w:t>再找写入动作。核对文件名、路径、是否等待审批、是否报告错误。如果模型只给了 Markdown 正文，要求保存后再检查工具结果。</w:t>
      </w:r>
    </w:p>
    <w:p>
      <w:pPr>
        <w:pStyle w:val="Procedure"/>
        <w:numPr>
          <w:ilvl w:val="0"/>
          <w:numId w:val="25"/>
        </w:numPr>
        <w:ind w:left="461" w:hanging="461"/>
      </w:pPr>
      <w:r>
        <w:t>用文件管理器打开实际生成的文件。出现过写入记录也要核对内容，尤其是责任人、日期、名额等容易被模型补全的字段。</w:t>
      </w:r>
    </w:p>
    <w:p>
      <w:pPr>
        <w:pStyle w:val="Heading3"/>
      </w:pPr>
      <w:r>
        <w:t>把这套核对方法用到企业场景</w:t>
      </w:r>
    </w:p>
    <w:p>
      <w:r>
        <w:t>把模型整理好的纪要交给同事时，可以随附原文位置、所用模型、待确认事项和人工核对者。若后续需要写入业务系统，先确认由哪个身份执行、可改哪些记录、谁负责批准。一次本机演示通过，不能代替对多用户权限和业务数据的验证。</w:t>
      </w:r>
    </w:p>
    <w:p>
      <w:r>
        <w:t>运行记录可以帮助你还原做过哪些动作。重开会话或查看旧记录，不会自动撤销已经写到外部磁盘或业务系统里的改动。</w:t>
      </w:r>
    </w:p>
    <w:p>
      <w:pPr>
        <w:pStyle w:val="SourceLine"/>
      </w:pPr>
      <w:r>
        <w:rPr>
          <w:b/>
        </w:rPr>
        <w:t xml:space="preserve">资料出处　</w:t>
      </w:r>
      <w:hyperlink r:id="rId27">
        <w:r>
          <w:rPr>
            <w:color w:val="245A79"/>
            <w:u w:val="single"/>
          </w:rPr>
          <w:t>DeepSeek 官方桌面功能与运行轨迹示意</w:t>
        </w:r>
      </w:hyperlink>
      <w:r>
        <w:t xml:space="preserve">  ｜  </w:t>
      </w:r>
      <w:hyperlink r:id="rId35">
        <w:r>
          <w:rPr>
            <w:color w:val="245A79"/>
            <w:u w:val="single"/>
          </w:rPr>
          <w:t>DeepSeek 开发预览设计说明与会话日志</w:t>
        </w:r>
      </w:hyperlink>
      <w:r>
        <w:t xml:space="preserve">  ｜  </w:t>
      </w:r>
      <w:hyperlink r:id="rId68">
        <w:r>
          <w:rPr>
            <w:color w:val="245A79"/>
            <w:u w:val="single"/>
          </w:rPr>
          <w:t>腾讯云 ADP 对企业治理的讨论</w:t>
        </w:r>
      </w:hyperlink>
    </w:p>
    <w:p>
      <w:pPr>
        <w:pStyle w:val="Heading2"/>
      </w:pPr>
      <w:r>
        <w:t>怎样把一次操作录成有证据的演示</w:t>
      </w:r>
    </w:p>
    <w:p>
      <w:pPr>
        <w:pStyle w:val="ManuscriptLead"/>
      </w:pPr>
      <w:r>
        <w:t>观众最难看清的是“刚才发生了什么”。用同一个小目录录制三个证据画面：操作前目录里有什么，模型调用了哪个工具，操作后磁盘是什么样。文档下载版附每一段的镜头与口播。</w:t>
      </w:r>
    </w:p>
    <w:p>
      <w:pPr>
        <w:pStyle w:val="Heading3"/>
      </w:pPr>
      <w:r>
        <w:t>五段镜头拍什么</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294"/>
        <w:gridCol w:w="3857"/>
        <w:gridCol w:w="3727"/>
      </w:tblGrid>
      <w:tr>
        <w:trPr>
          <w:cantSplit/>
          <w:tblHeader w:val="true"/>
        </w:trPr>
        <w:tc>
          <w:tcPr>
            <w:tcW w:type="dxa" w:w="2294"/>
            <w:vAlign w:val="center"/>
            <w:shd w:fill="DCE8EE" w:val="clear"/>
          </w:tcPr>
          <w:p>
            <w:pPr>
              <w:pStyle w:val="TableBody"/>
              <w:keepNext/>
            </w:pPr>
            <w:r>
              <w:rPr>
                <w:b/>
                <w:color w:val="000000"/>
              </w:rPr>
              <w:t>镜头</w:t>
            </w:r>
          </w:p>
        </w:tc>
        <w:tc>
          <w:tcPr>
            <w:tcW w:type="dxa" w:w="3857"/>
            <w:vAlign w:val="center"/>
            <w:shd w:fill="DCE8EE" w:val="clear"/>
          </w:tcPr>
          <w:p>
            <w:pPr>
              <w:pStyle w:val="TableBody"/>
              <w:keepNext/>
            </w:pPr>
            <w:r>
              <w:rPr>
                <w:b/>
                <w:color w:val="000000"/>
              </w:rPr>
              <w:t>录屏时停在哪一帧</w:t>
            </w:r>
          </w:p>
        </w:tc>
        <w:tc>
          <w:tcPr>
            <w:tcW w:type="dxa" w:w="3727"/>
            <w:vAlign w:val="center"/>
            <w:shd w:fill="DCE8EE" w:val="clear"/>
          </w:tcPr>
          <w:p>
            <w:pPr>
              <w:pStyle w:val="TableBody"/>
              <w:keepNext/>
            </w:pPr>
            <w:r>
              <w:rPr>
                <w:b/>
                <w:color w:val="000000"/>
              </w:rPr>
              <w:t>可以由此说明什么</w:t>
            </w:r>
          </w:p>
        </w:tc>
      </w:tr>
      <w:tr>
        <w:trPr>
          <w:cantSplit/>
        </w:trPr>
        <w:tc>
          <w:tcPr>
            <w:tcW w:type="dxa" w:w="2294"/>
            <w:vAlign w:val="center"/>
          </w:tcPr>
          <w:p>
            <w:pPr>
              <w:pStyle w:val="TableBody"/>
              <w:keepNext w:val="0"/>
            </w:pPr>
            <w:r>
              <w:t>01 准备环境</w:t>
            </w:r>
          </w:p>
        </w:tc>
        <w:tc>
          <w:tcPr>
            <w:tcW w:type="dxa" w:w="3857"/>
            <w:vAlign w:val="center"/>
          </w:tcPr>
          <w:p>
            <w:pPr>
              <w:pStyle w:val="TableBody"/>
              <w:keepNext w:val="0"/>
            </w:pPr>
            <w:r>
              <w:t>官方下载入口和客户端版本号</w:t>
            </w:r>
          </w:p>
        </w:tc>
        <w:tc>
          <w:tcPr>
            <w:tcW w:type="dxa" w:w="3727"/>
            <w:vAlign w:val="center"/>
          </w:tcPr>
          <w:p>
            <w:pPr>
              <w:pStyle w:val="TableBody"/>
              <w:keepNext w:val="0"/>
            </w:pPr>
            <w:r>
              <w:t>你用的系统、界面形态与版本，登录完成后再录屏。</w:t>
            </w:r>
          </w:p>
        </w:tc>
      </w:tr>
      <w:tr>
        <w:trPr>
          <w:cantSplit/>
        </w:trPr>
        <w:tc>
          <w:tcPr>
            <w:tcW w:type="dxa" w:w="2294"/>
            <w:vAlign w:val="center"/>
          </w:tcPr>
          <w:p>
            <w:pPr>
              <w:pStyle w:val="TableBody"/>
              <w:keepNext w:val="0"/>
            </w:pPr>
            <w:r>
              <w:t>02 第一次读写</w:t>
            </w:r>
          </w:p>
        </w:tc>
        <w:tc>
          <w:tcPr>
            <w:tcW w:type="dxa" w:w="3857"/>
            <w:vAlign w:val="center"/>
          </w:tcPr>
          <w:p>
            <w:pPr>
              <w:pStyle w:val="TableBody"/>
              <w:keepNext w:val="0"/>
            </w:pPr>
            <w:r>
              <w:t>meeting.txt、读写调用及新文件 brief.md</w:t>
            </w:r>
          </w:p>
        </w:tc>
        <w:tc>
          <w:tcPr>
            <w:tcW w:type="dxa" w:w="3727"/>
            <w:vAlign w:val="center"/>
          </w:tcPr>
          <w:p>
            <w:pPr>
              <w:pStyle w:val="TableBody"/>
              <w:keepNext w:val="0"/>
            </w:pPr>
            <w:r>
              <w:t>观众能从原材料复核时间、责任人和待定事项。</w:t>
            </w:r>
          </w:p>
        </w:tc>
      </w:tr>
      <w:tr>
        <w:trPr>
          <w:cantSplit/>
        </w:trPr>
        <w:tc>
          <w:tcPr>
            <w:tcW w:type="dxa" w:w="2294"/>
            <w:vAlign w:val="center"/>
          </w:tcPr>
          <w:p>
            <w:pPr>
              <w:pStyle w:val="TableBody"/>
              <w:keepNext w:val="0"/>
            </w:pPr>
            <w:r>
              <w:t>03 安装技能</w:t>
            </w:r>
          </w:p>
        </w:tc>
        <w:tc>
          <w:tcPr>
            <w:tcW w:type="dxa" w:w="3857"/>
            <w:vAlign w:val="center"/>
          </w:tcPr>
          <w:p>
            <w:pPr>
              <w:pStyle w:val="TableBody"/>
              <w:keepNext w:val="0"/>
            </w:pPr>
            <w:r>
              <w:t>项目内的完整路径、实际生效的技能名、调用结果</w:t>
            </w:r>
          </w:p>
        </w:tc>
        <w:tc>
          <w:tcPr>
            <w:tcW w:type="dxa" w:w="3727"/>
            <w:vAlign w:val="center"/>
          </w:tcPr>
          <w:p>
            <w:pPr>
              <w:pStyle w:val="TableBody"/>
              <w:keepNext w:val="0"/>
            </w:pPr>
            <w:r>
              <w:t>把重复要求做成可复用的文字规则。</w:t>
            </w:r>
          </w:p>
        </w:tc>
      </w:tr>
      <w:tr>
        <w:trPr>
          <w:cantSplit/>
        </w:trPr>
        <w:tc>
          <w:tcPr>
            <w:tcW w:type="dxa" w:w="2294"/>
            <w:vAlign w:val="center"/>
          </w:tcPr>
          <w:p>
            <w:pPr>
              <w:pStyle w:val="TableBody"/>
              <w:keepNext w:val="0"/>
            </w:pPr>
            <w:r>
              <w:t>04 权限边界</w:t>
            </w:r>
          </w:p>
        </w:tc>
        <w:tc>
          <w:tcPr>
            <w:tcW w:type="dxa" w:w="3857"/>
            <w:vAlign w:val="center"/>
          </w:tcPr>
          <w:p>
            <w:pPr>
              <w:pStyle w:val="TableBody"/>
              <w:keepNext w:val="0"/>
            </w:pPr>
            <w:r>
              <w:t>已选 project、真实读取结果或拒绝信息、outside 实际目录</w:t>
            </w:r>
          </w:p>
        </w:tc>
        <w:tc>
          <w:tcPr>
            <w:tcW w:type="dxa" w:w="3727"/>
            <w:vAlign w:val="center"/>
          </w:tcPr>
          <w:p>
            <w:pPr>
              <w:pStyle w:val="TableBody"/>
              <w:keepNext w:val="0"/>
            </w:pPr>
            <w:r>
              <w:t>能说明这一次、这个端、这个工具的结果。</w:t>
            </w:r>
          </w:p>
        </w:tc>
      </w:tr>
      <w:tr>
        <w:trPr>
          <w:cantSplit/>
        </w:trPr>
        <w:tc>
          <w:tcPr>
            <w:tcW w:type="dxa" w:w="2294"/>
            <w:vAlign w:val="center"/>
          </w:tcPr>
          <w:p>
            <w:pPr>
              <w:pStyle w:val="TableBody"/>
              <w:keepNext w:val="0"/>
            </w:pPr>
            <w:r>
              <w:t>05 处理分歧</w:t>
            </w:r>
          </w:p>
        </w:tc>
        <w:tc>
          <w:tcPr>
            <w:tcW w:type="dxa" w:w="3857"/>
            <w:vAlign w:val="center"/>
          </w:tcPr>
          <w:p>
            <w:pPr>
              <w:pStyle w:val="TableBody"/>
              <w:keepNext w:val="0"/>
            </w:pPr>
            <w:r>
              <w:t>选取一处与预期不同的现象，打开调用详情</w:t>
            </w:r>
          </w:p>
        </w:tc>
        <w:tc>
          <w:tcPr>
            <w:tcW w:type="dxa" w:w="3727"/>
            <w:vAlign w:val="center"/>
          </w:tcPr>
          <w:p>
            <w:pPr>
              <w:pStyle w:val="TableBody"/>
              <w:keepNext w:val="0"/>
            </w:pPr>
            <w:r>
              <w:t>识别“没有发起调用”“被拒绝”“请求批准”“成功落盘”的差别。</w:t>
            </w:r>
          </w:p>
        </w:tc>
      </w:tr>
    </w:tbl>
    <w:p>
      <w:pPr>
        <w:pStyle w:val="Heading3"/>
      </w:pPr>
      <w:r>
        <w:t>怎么讲旧案例</w:t>
      </w:r>
    </w:p>
    <w:p>
      <w:r>
        <w:t>老陈早期的培训材料引用了文潇用 Harness 做网页、机器之心制作游戏，以及腾讯云 ADP 讨论企业治理的案例。前两项是作者当时的运行记录。素材里的耗时、步骤数、插件和权限选择，只能说明他们当时的环境。</w:t>
      </w:r>
    </w:p>
    <w:p>
      <w:r>
        <w:t>合作录屏可以沿用“输入任务—展开工具—打开产物”的叙事，用本次样例和自己录到的数字。账号登录成功、工具调用成功和输出事实正确是三件事，镜头分别交代。</w:t>
      </w:r>
    </w:p>
    <w:p>
      <w:pPr>
        <w:pStyle w:val="Heading3"/>
      </w:pPr>
      <w:r>
        <w:t>发布前请搭档照着看一次</w:t>
      </w:r>
    </w:p>
    <w:p>
      <w:pPr>
        <w:pStyle w:val="Procedure"/>
        <w:numPr>
          <w:ilvl w:val="0"/>
          <w:numId w:val="26"/>
        </w:numPr>
        <w:ind w:left="461" w:hanging="461"/>
      </w:pPr>
      <w:r>
        <w:t>让搭档只用公共下载页取得手册和实验包，核对解压后 project 下面只有 meeting.txt。</w:t>
      </w:r>
    </w:p>
    <w:p>
      <w:pPr>
        <w:pStyle w:val="Procedure"/>
        <w:numPr>
          <w:ilvl w:val="0"/>
          <w:numId w:val="26"/>
        </w:numPr>
        <w:ind w:left="461" w:hanging="461"/>
      </w:pPr>
      <w:r>
        <w:t>镜头内的版本、模型、项目路径要看得清。录屏只保留示例目录，裁掉账户身份、密钥和无关文件名。</w:t>
      </w:r>
    </w:p>
    <w:p>
      <w:pPr>
        <w:pStyle w:val="Procedure"/>
        <w:numPr>
          <w:ilvl w:val="0"/>
          <w:numId w:val="26"/>
        </w:numPr>
        <w:ind w:left="461" w:hanging="461"/>
      </w:pPr>
      <w:r>
        <w:t>在字幕里保留“官方文档说明”“源码检查”“这次机器实测”的区别。没有复现的界面不要补录成成功画面。</w:t>
      </w:r>
    </w:p>
    <w:p>
      <w:pPr>
        <w:pStyle w:val="SourceLine"/>
      </w:pPr>
      <w:r>
        <w:rPr>
          <w:b/>
        </w:rPr>
        <w:t xml:space="preserve">资料出处　</w:t>
      </w:r>
      <w:hyperlink r:id="rId27">
        <w:r>
          <w:rPr>
            <w:color w:val="245A79"/>
            <w:u w:val="single"/>
          </w:rPr>
          <w:t>DeepSeek Harness 官方产品页与界面演示</w:t>
        </w:r>
      </w:hyperlink>
      <w:r>
        <w:t xml:space="preserve">  ｜  </w:t>
      </w:r>
      <w:hyperlink r:id="rId69">
        <w:r>
          <w:rPr>
            <w:color w:val="245A79"/>
            <w:u w:val="single"/>
          </w:rPr>
          <w:t>本手册采用的 RC5 版本</w:t>
        </w:r>
      </w:hyperlink>
      <w:r>
        <w:t xml:space="preserve">  ｜  </w:t>
      </w:r>
      <w:hyperlink r:id="rId70">
        <w:r>
          <w:rPr>
            <w:color w:val="245A79"/>
            <w:u w:val="single"/>
          </w:rPr>
          <w:t>早期网页实操｜阿里云开发者社区转载</w:t>
        </w:r>
      </w:hyperlink>
      <w:r>
        <w:t xml:space="preserve">  ｜  </w:t>
      </w:r>
      <w:hyperlink r:id="rId68">
        <w:r>
          <w:rPr>
            <w:color w:val="245A79"/>
            <w:u w:val="single"/>
          </w:rPr>
          <w:t>企业治理的厂商视角｜腾讯云 ADP</w:t>
        </w:r>
      </w:hyperlink>
    </w:p>
    <w:p>
      <w:pPr>
        <w:pStyle w:val="Heading2"/>
      </w:pPr>
      <w:r>
        <w:t>版本变了，去哪里核对</w:t>
      </w:r>
    </w:p>
    <w:p>
      <w:pPr>
        <w:pStyle w:val="ManuscriptLead"/>
      </w:pPr>
      <w:r>
        <w:t>官网展示的是桌面产品，代码仓库的预发布标签可定位到一个具体实现。两者更新节奏可能不同。遇到与教程不一致的按钮或文件访问结果，先记录自己运行的版本。</w:t>
      </w:r>
    </w:p>
    <w:p>
      <w:pPr>
        <w:pStyle w:val="Heading3"/>
      </w:pPr>
      <w:r>
        <w:t>本版手册采用的依据</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68" w:type="dxa"/>
          <w:bottom w:w="68" w:type="dxa"/>
          <w:left w:w="110" w:type="dxa"/>
          <w:right w:w="110" w:type="dxa"/>
        </w:tblCellMar>
      </w:tblPr>
      <w:tblGrid>
        <w:gridCol w:w="2279"/>
        <w:gridCol w:w="3463"/>
        <w:gridCol w:w="4136"/>
      </w:tblGrid>
      <w:tr>
        <w:trPr>
          <w:cantSplit/>
          <w:tblHeader w:val="true"/>
        </w:trPr>
        <w:tc>
          <w:tcPr>
            <w:tcW w:type="dxa" w:w="2279"/>
            <w:vAlign w:val="center"/>
            <w:shd w:fill="DCE8EE" w:val="clear"/>
          </w:tcPr>
          <w:p>
            <w:pPr>
              <w:pStyle w:val="TableBody"/>
              <w:keepNext/>
            </w:pPr>
            <w:r>
              <w:rPr>
                <w:b/>
                <w:color w:val="000000"/>
              </w:rPr>
              <w:t>问题</w:t>
            </w:r>
          </w:p>
        </w:tc>
        <w:tc>
          <w:tcPr>
            <w:tcW w:type="dxa" w:w="3463"/>
            <w:vAlign w:val="center"/>
            <w:shd w:fill="DCE8EE" w:val="clear"/>
          </w:tcPr>
          <w:p>
            <w:pPr>
              <w:pStyle w:val="TableBody"/>
              <w:keepNext/>
            </w:pPr>
            <w:r>
              <w:rPr>
                <w:b/>
                <w:color w:val="000000"/>
              </w:rPr>
              <w:t>优先核对</w:t>
            </w:r>
          </w:p>
        </w:tc>
        <w:tc>
          <w:tcPr>
            <w:tcW w:type="dxa" w:w="4136"/>
            <w:vAlign w:val="center"/>
            <w:shd w:fill="DCE8EE" w:val="clear"/>
          </w:tcPr>
          <w:p>
            <w:pPr>
              <w:pStyle w:val="TableBody"/>
              <w:keepNext/>
            </w:pPr>
            <w:r>
              <w:rPr>
                <w:b/>
                <w:color w:val="000000"/>
              </w:rPr>
              <w:t>边界</w:t>
            </w:r>
          </w:p>
        </w:tc>
      </w:tr>
      <w:tr>
        <w:trPr>
          <w:cantSplit/>
        </w:trPr>
        <w:tc>
          <w:tcPr>
            <w:tcW w:type="dxa" w:w="2279"/>
            <w:vAlign w:val="center"/>
          </w:tcPr>
          <w:p>
            <w:pPr>
              <w:pStyle w:val="TableBody"/>
              <w:keepNext w:val="0"/>
            </w:pPr>
            <w:r>
              <w:t>我要下载哪个客户端</w:t>
            </w:r>
          </w:p>
        </w:tc>
        <w:tc>
          <w:tcPr>
            <w:tcW w:type="dxa" w:w="3463"/>
            <w:vAlign w:val="center"/>
          </w:tcPr>
          <w:p>
            <w:pPr>
              <w:pStyle w:val="TableBody"/>
              <w:keepNext w:val="0"/>
            </w:pPr>
            <w:r>
              <w:t>DeepSeek 官方产品页和该日下载入口</w:t>
            </w:r>
          </w:p>
        </w:tc>
        <w:tc>
          <w:tcPr>
            <w:tcW w:type="dxa" w:w="4136"/>
            <w:vAlign w:val="center"/>
          </w:tcPr>
          <w:p>
            <w:pPr>
              <w:pStyle w:val="TableBody"/>
              <w:keepNext w:val="0"/>
            </w:pPr>
            <w:r>
              <w:t>官网会更新，安装后以本机显示的版本为准。</w:t>
            </w:r>
          </w:p>
        </w:tc>
      </w:tr>
      <w:tr>
        <w:trPr>
          <w:cantSplit/>
        </w:trPr>
        <w:tc>
          <w:tcPr>
            <w:tcW w:type="dxa" w:w="2279"/>
            <w:vAlign w:val="center"/>
          </w:tcPr>
          <w:p>
            <w:pPr>
              <w:pStyle w:val="TableBody"/>
              <w:keepNext w:val="0"/>
            </w:pPr>
            <w:r>
              <w:t>技能按什么路径加载</w:t>
            </w:r>
          </w:p>
        </w:tc>
        <w:tc>
          <w:tcPr>
            <w:tcW w:type="dxa" w:w="3463"/>
            <w:vAlign w:val="center"/>
          </w:tcPr>
          <w:p>
            <w:pPr>
              <w:pStyle w:val="TableBody"/>
              <w:keepNext w:val="0"/>
            </w:pPr>
            <w:r>
              <w:t>固定的 dsh-v0.2.1-rc.5 源码</w:t>
            </w:r>
          </w:p>
        </w:tc>
        <w:tc>
          <w:tcPr>
            <w:tcW w:type="dxa" w:w="4136"/>
            <w:vAlign w:val="center"/>
          </w:tcPr>
          <w:p>
            <w:pPr>
              <w:pStyle w:val="TableBody"/>
              <w:keepNext w:val="0"/>
            </w:pPr>
            <w:r>
              <w:t>提交 b830ec9；另一条 alpha 发布线、主分支或不同客户端可能已有变化。</w:t>
            </w:r>
          </w:p>
        </w:tc>
      </w:tr>
      <w:tr>
        <w:trPr>
          <w:cantSplit/>
        </w:trPr>
        <w:tc>
          <w:tcPr>
            <w:tcW w:type="dxa" w:w="2279"/>
            <w:vAlign w:val="center"/>
          </w:tcPr>
          <w:p>
            <w:pPr>
              <w:pStyle w:val="TableBody"/>
              <w:keepNext w:val="0"/>
            </w:pPr>
            <w:r>
              <w:t>权限怎么工作</w:t>
            </w:r>
          </w:p>
        </w:tc>
        <w:tc>
          <w:tcPr>
            <w:tcW w:type="dxa" w:w="3463"/>
            <w:vAlign w:val="center"/>
          </w:tcPr>
          <w:p>
            <w:pPr>
              <w:pStyle w:val="TableBody"/>
              <w:keepNext w:val="0"/>
            </w:pPr>
            <w:r>
              <w:t>同一候选标签的权限策略与官方 SAFETY.md</w:t>
            </w:r>
          </w:p>
        </w:tc>
        <w:tc>
          <w:tcPr>
            <w:tcW w:type="dxa" w:w="4136"/>
            <w:vAlign w:val="center"/>
          </w:tcPr>
          <w:p>
            <w:pPr>
              <w:pStyle w:val="TableBody"/>
              <w:keepNext w:val="0"/>
            </w:pPr>
            <w:r>
              <w:t>桌面系统、具体工具、额外权限和宿主环境影响真实结果。</w:t>
            </w:r>
          </w:p>
        </w:tc>
      </w:tr>
      <w:tr>
        <w:trPr>
          <w:cantSplit/>
        </w:trPr>
        <w:tc>
          <w:tcPr>
            <w:tcW w:type="dxa" w:w="2279"/>
            <w:vAlign w:val="center"/>
          </w:tcPr>
          <w:p>
            <w:pPr>
              <w:pStyle w:val="TableBody"/>
              <w:keepNext w:val="0"/>
            </w:pPr>
            <w:r>
              <w:t>演示怎么验收</w:t>
            </w:r>
          </w:p>
        </w:tc>
        <w:tc>
          <w:tcPr>
            <w:tcW w:type="dxa" w:w="3463"/>
            <w:vAlign w:val="center"/>
          </w:tcPr>
          <w:p>
            <w:pPr>
              <w:pStyle w:val="TableBody"/>
              <w:keepNext w:val="0"/>
            </w:pPr>
            <w:r>
              <w:t>随包虚构输入和人工核对样张</w:t>
            </w:r>
          </w:p>
        </w:tc>
        <w:tc>
          <w:tcPr>
            <w:tcW w:type="dxa" w:w="4136"/>
            <w:vAlign w:val="center"/>
          </w:tcPr>
          <w:p>
            <w:pPr>
              <w:pStyle w:val="TableBody"/>
              <w:keepNext w:val="0"/>
            </w:pPr>
            <w:r>
              <w:t>产品实机录制时填写 record.tsv，保留实际现象。</w:t>
            </w:r>
          </w:p>
        </w:tc>
      </w:tr>
    </w:tbl>
    <w:p>
      <w:pPr>
        <w:pStyle w:val="Heading3"/>
      </w:pPr>
      <w:r>
        <w:t>为什么课件里的界面和现在不同</w:t>
      </w:r>
    </w:p>
    <w:p>
      <w:r>
        <w:t>早期授课 PPT 中的四个运行预设对应当时的演示。新的桌面产品把用户需要的工作流放到了工作区、插件、自动化任务和会话里。学员无需先理解框架内部所有预设。</w:t>
      </w:r>
    </w:p>
    <w:p>
      <w:r>
        <w:t>遇到差异，先区分你正在看的普通 DeepSeek 网页、Harness 桌面安装版、开发者通过命令启动的本地 Web 界面，再区分模型、思考、预设、文件权限。记录客户端名称和版本，保存一张脱敏的界面截图，并核对本页原始出处。</w:t>
      </w:r>
    </w:p>
    <w:p>
      <w:pPr>
        <w:pStyle w:val="Heading3"/>
      </w:pPr>
      <w:r>
        <w:t>本版实际核验到哪一步</w:t>
      </w:r>
    </w:p>
    <w:p>
      <w:r>
        <w:t>在临时目录运行 npm 官方发布的 RC5 命令行，核对了版本和帮助输出。将发行包自带的技能组件挂载到原版 Cordis 后，真实读取了样例 meeting-brief，验证项目技能覆盖同名个人技能，修改正文后可以重新读取，修改文件头的描述后目录会刷新。这些是宿主组件测试，桌面斜杠菜单需要另看实际客户端。</w:t>
      </w:r>
    </w:p>
    <w:p>
      <w:r>
        <w:t>在 Linux 的非临时工作目录运行 RC5 的路径判断与单次授权模块。样例中的项目内外路径得到不同的写入判定，拒绝授权未放宽权限。测试没有给模型发送真实账户请求，也没有验证所有操作系统的桌面界面。</w:t>
      </w:r>
    </w:p>
    <w:p>
      <w:r>
        <w:t>随包 reference/brief.md 是人工按虚构原文整理的核对稿。录制者可以拿自己的工具记录和文件结果与它比较。文档中的口播标明哪些地方应按现场结果替换。</w:t>
      </w:r>
    </w:p>
    <w:p>
      <w:pPr>
        <w:pStyle w:val="Heading3"/>
      </w:pPr>
      <w:r>
        <w:t>独立编写与资料来源</w:t>
      </w:r>
    </w:p>
    <w:p>
      <w:r>
        <w:t>本手册由老陈聊AI 整理，面向初学者和视频制作者。工作台示意、会议练习和对照样张为本手册重新制作。产品行为以各页标注的官方资料为依据。社区文章可提供历史场景，“awesome”清单需查看仓库所有者与维护者，不能替代官方的支持承诺。</w:t>
      </w:r>
    </w:p>
    <w:p>
      <w:pPr>
        <w:pStyle w:val="SourceLine"/>
      </w:pPr>
      <w:r>
        <w:rPr>
          <w:b/>
        </w:rPr>
        <w:t xml:space="preserve">资料出处　</w:t>
      </w:r>
      <w:hyperlink r:id="rId27">
        <w:r>
          <w:rPr>
            <w:color w:val="245A79"/>
            <w:u w:val="single"/>
          </w:rPr>
          <w:t>DeepSeek Harness 官方产品页与界面演示</w:t>
        </w:r>
      </w:hyperlink>
      <w:r>
        <w:t xml:space="preserve">  ｜  </w:t>
      </w:r>
      <w:hyperlink r:id="rId69">
        <w:r>
          <w:rPr>
            <w:color w:val="245A79"/>
            <w:u w:val="single"/>
          </w:rPr>
          <w:t>本手册采用的 RC5 版本</w:t>
        </w:r>
      </w:hyperlink>
      <w:r>
        <w:t xml:space="preserve">  ｜  </w:t>
      </w:r>
      <w:hyperlink r:id="rId31">
        <w:r>
          <w:rPr>
            <w:color w:val="245A79"/>
            <w:u w:val="single"/>
          </w:rPr>
          <w:t>DeepSeek 官方安全说明</w:t>
        </w:r>
      </w:hyperlink>
      <w:r>
        <w:t xml:space="preserve">  ｜  </w:t>
      </w:r>
      <w:hyperlink r:id="rId28">
        <w:r>
          <w:rPr>
            <w:color w:val="245A79"/>
            <w:u w:val="single"/>
          </w:rPr>
          <w:t>DeepSeek 官方开源仓库</w:t>
        </w:r>
      </w:hyperlink>
    </w:p>
    <w:p>
      <w:pPr>
        <w:pStyle w:val="Heading1"/>
        <w:pageBreakBefore/>
      </w:pPr>
      <w:bookmarkStart w:id="5" w:name="part5"/>
      <w:r>
        <w:t>合作博主拍摄脚本</w:t>
      </w:r>
      <w:bookmarkEnd w:id="5"/>
    </w:p>
    <w:p>
      <w:pPr>
        <w:pStyle w:val="SceneBody"/>
      </w:pPr>
      <w:r>
        <w:t>这条视频从一次小组内测会议开始。观众会看到一份随手记下的材料怎样变成会议简报，也能亲眼判断助手能读到哪一层目录。以下均为拍摄提纲和验收条件。把实机画面录下来后，再为该次运行填写结论。</w:t>
      </w:r>
    </w:p>
    <w:p>
      <w:pPr>
        <w:pStyle w:val="SceneBody"/>
      </w:pPr>
      <w:r>
        <w:t>将 harness-lab.zip 完整解压到个人文档中的新目录，放在已有 Git 项目之外。保留各文件夹的相对位置，只把 project 加入工作区。录制时显示程序版本与所用模型，输入凭据时暂停录制。reference/brief.md 是人工核对样张，拍摄用的 project 初始只含 meeting.txt。</w:t>
      </w:r>
    </w:p>
    <w:p>
      <w:pPr>
        <w:pStyle w:val="Heading2"/>
        <w:spacing w:before="140" w:after="60"/>
      </w:pPr>
      <w:r>
        <w:t>镜头 1   选择下载入口和工作区</w:t>
      </w:r>
    </w:p>
    <w:p>
      <w:pPr>
        <w:pStyle w:val="SceneBody"/>
      </w:pPr>
      <w:r>
        <w:rPr>
          <w:b/>
        </w:rPr>
        <w:t xml:space="preserve">画面　</w:t>
      </w:r>
      <w:r>
        <w:t>0:00–0:55。录下官方发布页的版本和适合本机的下载文件。按前文启动程序后，切到工作区选择器。文件管理器显示 project 与 outside 平级。只选 project，放大 meeting.txt 的内容。</w:t>
      </w:r>
    </w:p>
    <w:p>
      <w:pPr>
        <w:pStyle w:val="SceneVoice"/>
      </w:pPr>
      <w:r>
        <w:rPr>
          <w:b/>
        </w:rPr>
        <w:t xml:space="preserve">口播　</w:t>
      </w:r>
      <w:r>
        <w:t>“今天让 DeepSeek Harness 整理一次内测会议。我只把这个 project 文件夹交给它。左边留着原始记录，等会儿可以一条条对。”</w:t>
      </w:r>
    </w:p>
    <w:p>
      <w:pPr>
        <w:pStyle w:val="SceneBody"/>
      </w:pPr>
      <w:r>
        <w:rPr>
          <w:b/>
        </w:rPr>
        <w:t xml:space="preserve">核对　</w:t>
      </w:r>
      <w:r>
        <w:t>保留程序版本、当前工作区和原文件的画面。若未能启动或完成模型连接，在这一段指出停在哪步，先排查原因。</w:t>
      </w:r>
    </w:p>
    <w:p>
      <w:pPr>
        <w:pStyle w:val="Heading2"/>
        <w:spacing w:before="140" w:after="60"/>
      </w:pPr>
      <w:r>
        <w:t>镜头 2   把会议记录写成真正的文件</w:t>
      </w:r>
    </w:p>
    <w:p>
      <w:pPr>
        <w:pStyle w:val="SceneBody"/>
      </w:pPr>
      <w:r>
        <w:rPr>
          <w:b/>
        </w:rPr>
        <w:t xml:space="preserve">画面　</w:t>
      </w:r>
      <w:r>
        <w:t>0:55–2:05。拍下 project 里只有 meeting.txt。在「仅可查看」模式输入“读取 meeting.txt，分出决定、待办、待确认事项”。切到「工作区内修改」，再发“只在当前目录新建 brief.md，保存刚才整理的三项内容”。把读写轨迹和文件管理器放到同一屏，从磁盘打开 brief.md。</w:t>
      </w:r>
    </w:p>
    <w:p>
      <w:pPr>
        <w:pStyle w:val="SceneVoice"/>
      </w:pPr>
      <w:r>
        <w:rPr>
          <w:b/>
        </w:rPr>
        <w:t xml:space="preserve">口播　</w:t>
      </w:r>
      <w:r>
        <w:t>“看这里，我让它把简报写进文件。任务结束后，我们关掉对话气泡，直接去目录里打开。它有没有做完，要看这份新文件。”</w:t>
      </w:r>
    </w:p>
    <w:p>
      <w:pPr>
        <w:pStyle w:val="SceneBody"/>
      </w:pPr>
      <w:r>
        <w:rPr>
          <w:b/>
        </w:rPr>
        <w:t xml:space="preserve">核对　</w:t>
      </w:r>
      <w:r>
        <w:t>核对内测时间为 11 月 12 日 14:00，林舟要在 11 月 8 日前修改报名页，体验名额仍待确认。若简报只出现在聊天区、遗漏负责人或擅自填了名额，保留该画面，注明具体差异。</w:t>
      </w:r>
    </w:p>
    <w:p>
      <w:pPr>
        <w:pStyle w:val="Heading2"/>
        <w:spacing w:before="140" w:after="60"/>
      </w:pPr>
      <w:r>
        <w:t>镜头 3   用 Skill 固定简报写法</w:t>
      </w:r>
    </w:p>
    <w:p>
      <w:pPr>
        <w:pStyle w:val="SceneBody"/>
      </w:pPr>
      <w:r>
        <w:rPr>
          <w:b/>
        </w:rPr>
        <w:t xml:space="preserve">画面　</w:t>
      </w:r>
      <w:r>
        <w:t>2:05–3:10。打开 skill-source/meeting-brief/SKILL.md，放大名称和三栏规则。把 meeting-brief 整个文件夹复制到 project/.dsh/skills/。回到选中 project 的会话，输入“/meeting-brief 请整理 meeting.txt”。并排展示规则、调用记录和这次输出。</w:t>
      </w:r>
    </w:p>
    <w:p>
      <w:pPr>
        <w:pStyle w:val="SceneVoice"/>
      </w:pPr>
      <w:r>
        <w:rPr>
          <w:b/>
        </w:rPr>
        <w:t xml:space="preserve">口播　</w:t>
      </w:r>
      <w:r>
        <w:t>“刚才我在对话里逐条写要求。现在把整理规则放进一个 Skill，下次可以直接按名字调用。我们看这次输出有没有照着规则走。”</w:t>
      </w:r>
    </w:p>
    <w:p>
      <w:pPr>
        <w:pStyle w:val="SceneBody"/>
      </w:pPr>
      <w:r>
        <w:rPr>
          <w:b/>
        </w:rPr>
        <w:t xml:space="preserve">核对　</w:t>
      </w:r>
      <w:r>
        <w:t>拍到 meeting-brief 的名称和实际加载迹象，再把「决定」「待办」「待确认」三栏与原文对照。若命令未被识别，拍下真实安装路径、刷新过程和提示原文，按排查章节定位原因。只有三栏看起来相似时，应将调用状态记为未核实。</w:t>
      </w:r>
    </w:p>
    <w:p>
      <w:pPr>
        <w:pStyle w:val="Heading2"/>
        <w:spacing w:before="140" w:after="60"/>
      </w:pPr>
      <w:r>
        <w:t>镜头 4   让请求跨过工作区边界</w:t>
      </w:r>
    </w:p>
    <w:p>
      <w:pPr>
        <w:pStyle w:val="SceneBody"/>
      </w:pPr>
      <w:r>
        <w:rPr>
          <w:b/>
        </w:rPr>
        <w:t xml:space="preserve">画面　</w:t>
      </w:r>
      <w:r>
        <w:t>3:10–4:30。确认只添加了 project，且同级 outside 中没有 probe.txt。分两次发出请求。先问“仅用文件读取工具读取 ../outside/marker.txt，把内容原样告诉我”，再问“仅用文件写入工具在 ../outside/probe.txt 新建一个写着 BOUNDARY-PROBE 的文件”。若弹出权限请求，拍下目标路径后拒绝。两次请求都结束后再打开 outside 核对。</w:t>
      </w:r>
    </w:p>
    <w:p>
      <w:pPr>
        <w:pStyle w:val="SceneVoice"/>
      </w:pPr>
      <w:r>
        <w:rPr>
          <w:b/>
        </w:rPr>
        <w:t xml:space="preserve">口播　</w:t>
      </w:r>
      <w:r>
        <w:t>“outside 在工作区外。我先不给它答案，看看能不能读到文件。接着我让它在同一个目录新建文件。如果它来问，我会拒绝，把实际结果留在画面上。”</w:t>
      </w:r>
    </w:p>
    <w:p>
      <w:pPr>
        <w:pStyle w:val="SceneBody"/>
      </w:pPr>
      <w:r>
        <w:rPr>
          <w:b/>
        </w:rPr>
        <w:t xml:space="preserve">核对　</w:t>
      </w:r>
      <w:r>
        <w:t>分开记录读、写两项。请求读之前，镜头和提示词都不泄露标记值。事后打开 marker.txt 对照输出，保留实际读取路径和工具记录。写操作以磁盘上是否出现 probe.txt 及其内容为准，照实填写 record.tsv。若收到授权请求，记录拒绝后的结果。</w:t>
      </w:r>
    </w:p>
    <w:p>
      <w:pPr>
        <w:pStyle w:val="Heading2"/>
        <w:spacing w:before="140" w:after="60"/>
      </w:pPr>
      <w:r>
        <w:t>镜头 5   对照记录解释分歧</w:t>
      </w:r>
    </w:p>
    <w:p>
      <w:pPr>
        <w:pStyle w:val="SceneBody"/>
      </w:pPr>
      <w:r>
        <w:rPr>
          <w:b/>
        </w:rPr>
        <w:t xml:space="preserve">画面　</w:t>
      </w:r>
      <w:r>
        <w:t>4:30–5:00。选一个观众可能误判的瞬间，暂停在工具详情里。若模型说完成但磁盘无文件，拍出两处画面；若结果符合预期，就展示一次真实的工具调用与对应文件。字幕写录制日期、版本和本次权限选择。</w:t>
      </w:r>
    </w:p>
    <w:p>
      <w:pPr>
        <w:pStyle w:val="SceneVoice"/>
      </w:pPr>
      <w:r>
        <w:rPr>
          <w:b/>
        </w:rPr>
        <w:t xml:space="preserve">口播　</w:t>
      </w:r>
      <w:r>
        <w:t>“这份简报里，我核对了会议时间、谁去改报名页，以及哪件事还没定。技能有没有生效、目录外能读写到什么程度，都可以从刚才的记录里回看。你可以拿同一份素材在自己的版本上试一遍。”</w:t>
      </w:r>
    </w:p>
    <w:p>
      <w:pPr>
        <w:pStyle w:val="SceneBody"/>
      </w:pPr>
      <w:r>
        <w:rPr>
          <w:b/>
        </w:rPr>
        <w:t xml:space="preserve">核对　</w:t>
      </w:r>
      <w:r>
        <w:t>只对镜头中已经核对的事项下结论。没有实际运行的段落，用“实验方法”或“待验证”标出，避免把参考文件、第三方截图或预期结果写成个人实测。</w:t>
      </w:r>
    </w:p>
    <w:sectPr w:rsidR="00FC693F" w:rsidRPr="0006063C" w:rsidSect="00034616">
      <w:footerReference w:type="default" r:id="rId9"/>
      <w:pgSz w:w="12240" w:h="15840"/>
      <w:pgMar w:top="1008" w:right="1181" w:bottom="1037" w:left="1181" w:header="403"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s="Calibri" w:eastAsia="Microsoft YaHei"/>
        <w:b w:val="0"/>
        <w:color w:val="526574"/>
        <w:sz w:val="16"/>
      </w:rPr>
      <w:t xml:space="preserve">老陈聊AI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0"/>
    <w:lvlOverride w:ilvl="0">
      <w:startOverride w:val="1"/>
    </w:lvlOverride>
  </w:num>
  <w:num w:numId="17">
    <w:abstractNumId w:val="0"/>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0"/>
    <w:lvlOverride w:ilvl="0">
      <w:startOverride w:val="1"/>
    </w:lvlOverride>
  </w:num>
  <w:num w:numId="22">
    <w:abstractNumId w:val="0"/>
    <w:lvlOverride w:ilvl="0">
      <w:startOverride w:val="1"/>
    </w:lvlOverride>
  </w:num>
  <w:num w:numId="23">
    <w:abstractNumId w:val="0"/>
    <w:lvlOverride w:ilvl="0">
      <w:startOverride w:val="1"/>
    </w:lvlOverride>
  </w:num>
  <w:num w:numId="24">
    <w:abstractNumId w:val="0"/>
    <w:lvlOverride w:ilvl="0">
      <w:startOverride w:val="1"/>
    </w:lvlOverride>
  </w:num>
  <w:num w:numId="25">
    <w:abstractNumId w:val="0"/>
    <w:lvlOverride w:ilvl="0">
      <w:startOverride w:val="1"/>
    </w:lvlOverride>
  </w:num>
  <w:num w:numId="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80" w:line="331" w:lineRule="auto"/>
      <w:snapToGrid w:val="0"/>
    </w:pPr>
    <w:rPr>
      <w:rFonts w:ascii="Calibri" w:hAnsi="Calibri" w:cs="Calibri" w:eastAsia="Microsoft YaHei"/>
      <w:b w:val="0"/>
      <w:color w:val="21262D"/>
      <w:sz w:val="21"/>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00" w:after="100" w:line="331" w:lineRule="auto"/>
      <w:outlineLvl w:val="0"/>
      <w:snapToGrid w:val="0"/>
    </w:pPr>
    <w:rPr>
      <w:rFonts w:ascii="Calibri" w:hAnsi="Calibri" w:cs="Calibri" w:eastAsia="Microsoft YaHei"/>
      <w:b/>
      <w:bCs/>
      <w:color w:val="000000"/>
      <w:sz w:val="36"/>
      <w:szCs w:val="28"/>
      <w:lang w:val="en-US" w:eastAsia="zh-CN"/>
    </w:rPr>
  </w:style>
  <w:style w:type="paragraph" w:styleId="Heading2">
    <w:name w:val="heading 2"/>
    <w:basedOn w:val="Normal"/>
    <w:next w:val="Normal"/>
    <w:link w:val="Heading2Char"/>
    <w:uiPriority w:val="9"/>
    <w:unhideWhenUsed/>
    <w:qFormat/>
    <w:rsid w:val="00FC693F"/>
    <w:pPr>
      <w:keepNext/>
      <w:keepLines/>
      <w:widowControl/>
      <w:spacing w:before="240" w:after="80" w:line="331" w:lineRule="auto"/>
      <w:outlineLvl w:val="1"/>
      <w:snapToGrid w:val="0"/>
    </w:pPr>
    <w:rPr>
      <w:rFonts w:ascii="Calibri" w:hAnsi="Calibri" w:cs="Calibri" w:eastAsia="Microsoft YaHei"/>
      <w:b/>
      <w:bCs/>
      <w:color w:val="000000"/>
      <w:sz w:val="28"/>
      <w:szCs w:val="26"/>
      <w:lang w:val="en-US" w:eastAsia="zh-CN"/>
    </w:rPr>
  </w:style>
  <w:style w:type="paragraph" w:styleId="Heading3">
    <w:name w:val="heading 3"/>
    <w:basedOn w:val="Normal"/>
    <w:next w:val="Normal"/>
    <w:link w:val="Heading3Char"/>
    <w:uiPriority w:val="9"/>
    <w:unhideWhenUsed/>
    <w:qFormat/>
    <w:rsid w:val="00FC693F"/>
    <w:pPr>
      <w:keepNext/>
      <w:keepLines/>
      <w:widowControl/>
      <w:spacing w:before="140" w:after="60" w:line="331" w:lineRule="auto"/>
      <w:outlineLvl w:val="2"/>
      <w:snapToGrid w:val="0"/>
    </w:pPr>
    <w:rPr>
      <w:rFonts w:ascii="Calibri" w:hAnsi="Calibri" w:cs="Calibri" w:eastAsia="Microsoft YaHei"/>
      <w:b/>
      <w:bCs/>
      <w:color w:val="000000"/>
      <w:sz w:val="23"/>
      <w:lang w:val="en-US"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40" w:line="269" w:lineRule="auto" w:before="0"/>
      <w:snapToGrid w:val="0"/>
    </w:pPr>
    <w:rPr>
      <w:rFonts w:ascii="Calibri" w:hAnsi="Calibri" w:cs="Calibri" w:eastAsia="Microsoft YaHei"/>
      <w:b/>
      <w:color w:val="000000"/>
      <w:spacing w:val="5"/>
      <w:kern w:val="28"/>
      <w:sz w:val="54"/>
      <w:szCs w:val="52"/>
      <w:lang w:val="en-US"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uscriptLead">
    <w:name w:val="ManuscriptLead"/>
    <w:basedOn w:val="Normal"/>
    <w:pPr>
      <w:widowControl/>
      <w:spacing w:before="20" w:after="120" w:line="331" w:lineRule="auto"/>
      <w:snapToGrid w:val="0"/>
    </w:pPr>
    <w:rPr>
      <w:rFonts w:ascii="Calibri" w:hAnsi="Calibri" w:cs="Calibri" w:eastAsia="Microsoft YaHei"/>
      <w:b w:val="0"/>
      <w:color w:val="21262D"/>
      <w:sz w:val="22"/>
      <w:lang w:val="en-US" w:eastAsia="zh-CN"/>
    </w:rPr>
  </w:style>
  <w:style w:type="paragraph" w:customStyle="1" w:styleId="ManuscriptMeta">
    <w:name w:val="ManuscriptMeta"/>
    <w:basedOn w:val="Normal"/>
    <w:pPr>
      <w:widowControl/>
      <w:spacing w:before="0" w:after="100" w:line="331" w:lineRule="auto"/>
      <w:snapToGrid w:val="0"/>
    </w:pPr>
    <w:rPr>
      <w:rFonts w:ascii="Calibri" w:hAnsi="Calibri" w:cs="Calibri" w:eastAsia="Microsoft YaHei"/>
      <w:b w:val="0"/>
      <w:color w:val="526574"/>
      <w:sz w:val="18"/>
      <w:lang w:val="en-US" w:eastAsia="zh-CN"/>
    </w:rPr>
  </w:style>
  <w:style w:type="paragraph" w:customStyle="1" w:styleId="SourceLine">
    <w:name w:val="SourceLine"/>
    <w:basedOn w:val="Normal"/>
    <w:pPr>
      <w:widowControl/>
      <w:spacing w:before="40" w:after="100" w:line="331" w:lineRule="auto"/>
      <w:snapToGrid w:val="0"/>
    </w:pPr>
    <w:rPr>
      <w:rFonts w:ascii="Calibri" w:hAnsi="Calibri" w:cs="Calibri" w:eastAsia="Microsoft YaHei"/>
      <w:b w:val="0"/>
      <w:color w:val="526574"/>
      <w:sz w:val="18"/>
      <w:lang w:val="en-US" w:eastAsia="zh-CN"/>
    </w:rPr>
  </w:style>
  <w:style w:type="paragraph" w:customStyle="1" w:styleId="Command">
    <w:name w:val="Command"/>
    <w:basedOn w:val="Normal"/>
    <w:pPr>
      <w:widowControl/>
      <w:spacing w:before="40" w:after="100" w:line="288" w:lineRule="auto"/>
      <w:snapToGrid w:val="0"/>
      <w:ind w:left="245"/>
    </w:pPr>
    <w:rPr>
      <w:rFonts w:ascii="Consolas" w:hAnsi="Consolas" w:cs="Consolas" w:eastAsia="Microsoft YaHei"/>
      <w:b w:val="0"/>
      <w:color w:val="21262D"/>
      <w:sz w:val="19"/>
      <w:lang w:val="en-US" w:eastAsia="zh-CN"/>
    </w:rPr>
  </w:style>
  <w:style w:type="paragraph" w:customStyle="1" w:styleId="Procedure">
    <w:name w:val="Procedure"/>
    <w:basedOn w:val="Normal"/>
    <w:pPr>
      <w:widowControl/>
      <w:spacing w:before="0" w:after="60" w:line="331" w:lineRule="auto"/>
      <w:snapToGrid w:val="0"/>
    </w:pPr>
    <w:rPr>
      <w:rFonts w:ascii="Calibri" w:hAnsi="Calibri" w:cs="Calibri" w:eastAsia="Microsoft YaHei"/>
      <w:b w:val="0"/>
      <w:color w:val="21262D"/>
      <w:sz w:val="21"/>
      <w:lang w:val="en-US" w:eastAsia="zh-CN"/>
    </w:rPr>
  </w:style>
  <w:style w:type="paragraph" w:customStyle="1" w:styleId="TableBody">
    <w:name w:val="TableBody"/>
    <w:basedOn w:val="Normal"/>
    <w:pPr>
      <w:widowControl/>
      <w:spacing w:before="0" w:after="0" w:line="300" w:lineRule="auto"/>
      <w:snapToGrid w:val="0"/>
    </w:pPr>
    <w:rPr>
      <w:rFonts w:ascii="Calibri" w:hAnsi="Calibri" w:cs="Calibri" w:eastAsia="Microsoft YaHei"/>
      <w:b w:val="0"/>
      <w:color w:val="21262D"/>
      <w:sz w:val="20"/>
      <w:lang w:val="en-US" w:eastAsia="zh-CN"/>
    </w:rPr>
  </w:style>
  <w:style w:type="paragraph" w:customStyle="1" w:styleId="SceneVoice">
    <w:name w:val="SceneVoice"/>
    <w:basedOn w:val="Normal"/>
    <w:pPr>
      <w:widowControl/>
      <w:spacing w:before="0" w:after="60" w:line="300" w:lineRule="auto"/>
      <w:snapToGrid w:val="0"/>
      <w:ind w:left="245"/>
    </w:pPr>
    <w:rPr>
      <w:rFonts w:ascii="Calibri" w:hAnsi="Calibri" w:cs="Calibri" w:eastAsia="Microsoft YaHei"/>
      <w:b w:val="0"/>
      <w:color w:val="21262D"/>
      <w:sz w:val="21"/>
      <w:lang w:val="en-US" w:eastAsia="zh-CN"/>
    </w:rPr>
  </w:style>
  <w:style w:type="paragraph" w:customStyle="1" w:styleId="SceneBody">
    <w:name w:val="SceneBody"/>
    <w:basedOn w:val="Normal"/>
    <w:pPr>
      <w:widowControl/>
      <w:spacing w:before="0" w:after="60" w:line="300" w:lineRule="auto"/>
      <w:snapToGrid w:val="0"/>
    </w:pPr>
    <w:rPr>
      <w:rFonts w:ascii="Calibri" w:hAnsi="Calibri" w:cs="Calibri" w:eastAsia="Microsoft YaHei"/>
      <w:b w:val="0"/>
      <w:color w:val="21262D"/>
      <w:sz w:val="21"/>
      <w:lang w:val="en-US"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laochen-deepseek-harness.calmzeal.chatgpt.site/downloads/harness-lab.zip" TargetMode="External"/><Relationship Id="rId11" Type="http://schemas.openxmlformats.org/officeDocument/2006/relationships/hyperlink" Target="https://laochen-deepseek-harness.calmzeal.chatgpt.site/" TargetMode="External"/><Relationship Id="rId12" Type="http://schemas.openxmlformats.org/officeDocument/2006/relationships/hyperlink" Target="https://www.deepseek.com/" TargetMode="External"/><Relationship Id="rId13" Type="http://schemas.openxmlformats.org/officeDocument/2006/relationships/hyperlink" Target="https://chat.deepseek.com/" TargetMode="External"/><Relationship Id="rId14" Type="http://schemas.openxmlformats.org/officeDocument/2006/relationships/hyperlink" Target="https://www.deepseek.com/download/" TargetMode="External"/><Relationship Id="rId15" Type="http://schemas.openxmlformats.org/officeDocument/2006/relationships/hyperlink" Target="https://apps.apple.com/cn/app/deepseek/id6737597349" TargetMode="External"/><Relationship Id="rId16" Type="http://schemas.openxmlformats.org/officeDocument/2006/relationships/hyperlink" Target="https://api-docs.deepseek.com/news/news250115/" TargetMode="External"/><Relationship Id="rId17" Type="http://schemas.openxmlformats.org/officeDocument/2006/relationships/hyperlink" Target="https://cdn.deepseek.com/policies/zh-CN/app-permissions.html" TargetMode="External"/><Relationship Id="rId18" Type="http://schemas.openxmlformats.org/officeDocument/2006/relationships/hyperlink" Target="https://www.deepseek.com/harness/privacy/" TargetMode="External"/><Relationship Id="rId19" Type="http://schemas.openxmlformats.org/officeDocument/2006/relationships/hyperlink" Target="https://github.com/deepseek-ai/deepseek-harness/blob/master/packages/client/ui-settings-account/README.zh.md" TargetMode="External"/><Relationship Id="rId20" Type="http://schemas.openxmlformats.org/officeDocument/2006/relationships/hyperlink" Target="https://deepseek-harness.github.io/deepseek-harness/guide/providers" TargetMode="External"/><Relationship Id="rId21" Type="http://schemas.openxmlformats.org/officeDocument/2006/relationships/hyperlink" Target="https://www.deepseek.com/harness/terms-of-use/" TargetMode="External"/><Relationship Id="rId22" Type="http://schemas.openxmlformats.org/officeDocument/2006/relationships/hyperlink" Target="https://api-docs.deepseek.com/zh-cn/" TargetMode="External"/><Relationship Id="rId23" Type="http://schemas.openxmlformats.org/officeDocument/2006/relationships/hyperlink" Target="https://platform.deepseek.com/api_keys" TargetMode="External"/><Relationship Id="rId24" Type="http://schemas.openxmlformats.org/officeDocument/2006/relationships/hyperlink" Target="https://api-docs.deepseek.com/zh-cn/quick_start/pricing/" TargetMode="External"/><Relationship Id="rId25" Type="http://schemas.openxmlformats.org/officeDocument/2006/relationships/hyperlink" Target="https://api-docs.deepseek.com/zh-cn/quick_start/error_codes/" TargetMode="External"/><Relationship Id="rId26" Type="http://schemas.openxmlformats.org/officeDocument/2006/relationships/hyperlink" Target="https://api-docs.deepseek.com/zh-cn/guides/search/" TargetMode="External"/><Relationship Id="rId27" Type="http://schemas.openxmlformats.org/officeDocument/2006/relationships/hyperlink" Target="https://www.deepseek.com/harness/" TargetMode="External"/><Relationship Id="rId28" Type="http://schemas.openxmlformats.org/officeDocument/2006/relationships/hyperlink" Target="https://github.com/deepseek-ai/deepseek-harness" TargetMode="External"/><Relationship Id="rId29" Type="http://schemas.openxmlformats.org/officeDocument/2006/relationships/hyperlink" Target="https://github.com/deepseek-ai/deepseek-harness/releases" TargetMode="External"/><Relationship Id="rId30" Type="http://schemas.openxmlformats.org/officeDocument/2006/relationships/image" Target="media/image1.png"/><Relationship Id="rId31" Type="http://schemas.openxmlformats.org/officeDocument/2006/relationships/hyperlink" Target="https://github.com/deepseek-ai/deepseek-harness/blob/b830ec950faba0a46dda564be3e2d854afed94f1/SAFETY.md" TargetMode="External"/><Relationship Id="rId32" Type="http://schemas.openxmlformats.org/officeDocument/2006/relationships/hyperlink" Target="https://deepseek-harness.github.io/deepseek-harness/guide/quickstart" TargetMode="External"/><Relationship Id="rId33" Type="http://schemas.openxmlformats.org/officeDocument/2006/relationships/hyperlink" Target="https://api-docs.deepseek.com/zh-cn/news/news261017/" TargetMode="External"/><Relationship Id="rId34" Type="http://schemas.openxmlformats.org/officeDocument/2006/relationships/hyperlink" Target="https://api-docs.deepseek.com/zh-cn/guides/thinking_mode/" TargetMode="External"/><Relationship Id="rId35" Type="http://schemas.openxmlformats.org/officeDocument/2006/relationships/hyperlink" Target="https://www.deepseek.com/harness/zh/" TargetMode="External"/><Relationship Id="rId36" Type="http://schemas.openxmlformats.org/officeDocument/2006/relationships/hyperlink" Target="https://api-docs.deepseek.com/zh-cn/updates/" TargetMode="External"/><Relationship Id="rId37" Type="http://schemas.openxmlformats.org/officeDocument/2006/relationships/image" Target="media/image2.png"/><Relationship Id="rId38" Type="http://schemas.openxmlformats.org/officeDocument/2006/relationships/image" Target="media/image3.png"/><Relationship Id="rId39" Type="http://schemas.openxmlformats.org/officeDocument/2006/relationships/hyperlink" Target="https://github.com/deepseek-ai/deepseek-harness/blob/b830ec950faba0a46dda564be3e2d854afed94f1/packages/skill/skill-filesystem/README.zh.md#L28-L85" TargetMode="External"/><Relationship Id="rId40" Type="http://schemas.openxmlformats.org/officeDocument/2006/relationships/hyperlink" Target="https://github.com/deepseek-ai/deepseek-harness/blob/b830ec950faba0a46dda564be3e2d854afed94f1/packages/skill/skill-filesystem/src/index.ts#L730-L846" TargetMode="External"/><Relationship Id="rId41" Type="http://schemas.openxmlformats.org/officeDocument/2006/relationships/hyperlink" Target="https://github.com/deepseek-ai/deepseek-harness/blob/b830ec950faba0a46dda564be3e2d854afed94f1/packages/client/ui-skill/README.zh.md#L26-L40" TargetMode="External"/><Relationship Id="rId42" Type="http://schemas.openxmlformats.org/officeDocument/2006/relationships/hyperlink" Target="https://github.com/deepseek-ai/deepseek-harness/blob/b830ec950faba0a46dda564be3e2d854afed94f1/packages/skill/tool-skill/README.zh.md#L81-L91" TargetMode="External"/><Relationship Id="rId43" Type="http://schemas.openxmlformats.org/officeDocument/2006/relationships/hyperlink" Target="https://github.com/deepseek-ai/deepseek-harness/blob/b830ec950faba0a46dda564be3e2d854afed94f1/packages/skill/skill/README.zh.md#L82-L89" TargetMode="External"/><Relationship Id="rId44" Type="http://schemas.openxmlformats.org/officeDocument/2006/relationships/hyperlink" Target="https://github.com/deepseek-ai/deepseek-harness/blob/b830ec950faba0a46dda564be3e2d854afed94f1/packages/skill/skill-filesystem/tests/skill-filesystem.spec.ts#L184-L249" TargetMode="External"/><Relationship Id="rId45" Type="http://schemas.openxmlformats.org/officeDocument/2006/relationships/hyperlink" Target="https://github.com/deepseek-ai/deepseek-harness/blob/b830ec950faba0a46dda564be3e2d854afed94f1/packages/client/ui-skill/README.zh.md#L103-L109" TargetMode="External"/><Relationship Id="rId46" Type="http://schemas.openxmlformats.org/officeDocument/2006/relationships/hyperlink" Target="https://github.com/deepseek-ai/deepseek-harness/blob/b830ec950faba0a46dda564be3e2d854afed94f1/packages/client/ui-plugin-manager/README.zh.md#L28-L69" TargetMode="External"/><Relationship Id="rId47" Type="http://schemas.openxmlformats.org/officeDocument/2006/relationships/hyperlink" Target="https://github.com/deepseek-ai/deepseek-harness/blob/b830ec950faba0a46dda564be3e2d854afed94f1/packages/boot/plugin-manager/README.zh.md#L29-L52" TargetMode="External"/><Relationship Id="rId48" Type="http://schemas.openxmlformats.org/officeDocument/2006/relationships/hyperlink" Target="https://github.com/deepseek-ai/deepseek-harness/blob/b830ec950faba0a46dda564be3e2d854afed94f1/docs/user/guide/plugin-market.zh.md#L17-L36" TargetMode="External"/><Relationship Id="rId49" Type="http://schemas.openxmlformats.org/officeDocument/2006/relationships/hyperlink" Target="https://github.com/deepseek-ai/deepseek-harness/blob/b830ec950faba0a46dda564be3e2d854afed94f1/docs/cli-help.md#dsh-plugin" TargetMode="External"/><Relationship Id="rId50" Type="http://schemas.openxmlformats.org/officeDocument/2006/relationships/hyperlink" Target="https://github.com/deepseek-ai/deepseek-harness/blob/b830ec950faba0a46dda564be3e2d854afed94f1/apps/desktop/README.zh.md#L129-L142" TargetMode="External"/><Relationship Id="rId51" Type="http://schemas.openxmlformats.org/officeDocument/2006/relationships/image" Target="media/image4.png"/><Relationship Id="rId52" Type="http://schemas.openxmlformats.org/officeDocument/2006/relationships/hyperlink" Target="https://github.com/deepseek-ai/deepseek-harness/blob/b830ec950faba0a46dda564be3e2d854afed94f1/packages/client/ui-workspace/README.zh.md#L40-L46" TargetMode="External"/><Relationship Id="rId53" Type="http://schemas.openxmlformats.org/officeDocument/2006/relationships/hyperlink" Target="https://github.com/deepseek-ai/deepseek-harness/blob/b830ec950faba0a46dda564be3e2d854afed94f1/packages/client/ui-workspace/README.zh.md#L76-L82" TargetMode="External"/><Relationship Id="rId54" Type="http://schemas.openxmlformats.org/officeDocument/2006/relationships/hyperlink" Target="https://github.com/deepseek-ai/deepseek-harness/blob/b830ec950faba0a46dda564be3e2d854afed94f1/packages/workspace/workspace/README.md#L49-L79" TargetMode="External"/><Relationship Id="rId55" Type="http://schemas.openxmlformats.org/officeDocument/2006/relationships/hyperlink" Target="https://github.com/deepseek-ai/deepseek-harness/blob/b830ec950faba0a46dda564be3e2d854afed94f1/packages/fs/tool-fs/README.md#L43-L82" TargetMode="External"/><Relationship Id="rId56" Type="http://schemas.openxmlformats.org/officeDocument/2006/relationships/hyperlink" Target="https://github.com/deepseek-ai/deepseek-harness/blob/b830ec950faba0a46dda564be3e2d854afed94f1/packages/sandbox/sandbox-policy/src/index.ts#L155-L169" TargetMode="External"/><Relationship Id="rId57" Type="http://schemas.openxmlformats.org/officeDocument/2006/relationships/hyperlink" Target="https://github.com/deepseek-ai/deepseek-harness/blob/b830ec950faba0a46dda564be3e2d854afed94f1/packages/fs/fs-sandbox/src/index.ts#L114-L144" TargetMode="External"/><Relationship Id="rId58" Type="http://schemas.openxmlformats.org/officeDocument/2006/relationships/hyperlink" Target="https://github.com/deepseek-ai/deepseek-harness/blob/b830ec950faba0a46dda564be3e2d854afed94f1/packages/client/ui-permission-presets/README.zh.md#L24-L39" TargetMode="External"/><Relationship Id="rId59" Type="http://schemas.openxmlformats.org/officeDocument/2006/relationships/hyperlink" Target="https://github.com/deepseek-ai/deepseek-harness/blob/b830ec950faba0a46dda564be3e2d854afed94f1/packages/bundle/base/cordis.patch.yml#L237-L296" TargetMode="External"/><Relationship Id="rId60" Type="http://schemas.openxmlformats.org/officeDocument/2006/relationships/hyperlink" Target="https://github.com/deepseek-ai/deepseek-harness/blob/b830ec950faba0a46dda564be3e2d854afed94f1/packages/sandbox/sandbox/src/escalation.ts#L161-L206" TargetMode="External"/><Relationship Id="rId61" Type="http://schemas.openxmlformats.org/officeDocument/2006/relationships/hyperlink" Target="https://github.com/deepseek-ai/deepseek-harness/blob/b830ec950faba0a46dda564be3e2d854afed94f1/packages/interaction/user-approval/README.md#L28-L58" TargetMode="External"/><Relationship Id="rId62" Type="http://schemas.openxmlformats.org/officeDocument/2006/relationships/hyperlink" Target="https://github.com/deepseek-ai/deepseek-harness/blob/b830ec950faba0a46dda564be3e2d854afed94f1/packages/sandbox/sandbox-local/README.md#L67-L95" TargetMode="External"/><Relationship Id="rId63" Type="http://schemas.openxmlformats.org/officeDocument/2006/relationships/hyperlink" Target="https://github.com/deepseek-ai/deepseek-harness/blob/b830ec950faba0a46dda564be3e2d854afed94f1/SAFETY.zh.md#L5-L23" TargetMode="External"/><Relationship Id="rId64" Type="http://schemas.openxmlformats.org/officeDocument/2006/relationships/hyperlink" Target="https://github.com/deepseek-ai/deepseek-harness/blob/b830ec950faba0a46dda564be3e2d854afed94f1/packages/fs/fs-sandbox/tests/fs-sandbox.spec.ts#L68-L151" TargetMode="External"/><Relationship Id="rId65" Type="http://schemas.openxmlformats.org/officeDocument/2006/relationships/hyperlink" Target="https://github.com/deepseek-ai/deepseek-harness/blob/b830ec950faba0a46dda564be3e2d854afed94f1/packages/sandbox/sandbox/src/roots.ts#L43-L55" TargetMode="External"/><Relationship Id="rId66" Type="http://schemas.openxmlformats.org/officeDocument/2006/relationships/hyperlink" Target="https://github.com/deepseek-ai/deepseek-harness/blob/b830ec950faba0a46dda564be3e2d854afed94f1/packages/shell/bash-sandbox/tests/bwrap.e2e.ts#L65-L89" TargetMode="External"/><Relationship Id="rId67" Type="http://schemas.openxmlformats.org/officeDocument/2006/relationships/hyperlink" Target="https://github.com/deepseek-ai/deepseek-harness/blob/b830ec950faba0a46dda564be3e2d854afed94f1/packages/shell/bash-sandbox/tests/seatbelt.e2e.ts#L65-L91" TargetMode="External"/><Relationship Id="rId68" Type="http://schemas.openxmlformats.org/officeDocument/2006/relationships/hyperlink" Target="https://adp.tencent.com/zh/blog/deepseek-harness-enterprise-agent-governance-production" TargetMode="External"/><Relationship Id="rId69" Type="http://schemas.openxmlformats.org/officeDocument/2006/relationships/hyperlink" Target="https://github.com/deepseek-ai/deepseek-harness/releases/tag/dsh-v0.2.1-rc.5" TargetMode="External"/><Relationship Id="rId70" Type="http://schemas.openxmlformats.org/officeDocument/2006/relationships/hyperlink" Target="https://developer.aliyun.com/article/17558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DeepSeek Harness 中文使用手册</dc:title>
  <dc:subject>DeepSeek Harness 入门知识库与合作博主拍摄手册</dc:subject>
  <dc:creator>老陈聊AI</dc:creator>
  <cp:keywords/>
  <dc:description/>
  <cp:lastModifiedBy/>
  <cp:revision>1</cp:revision>
  <dcterms:created xsi:type="dcterms:W3CDTF">2013-12-23T23:15:00Z</dcterms:created>
  <dcterms:modified xsi:type="dcterms:W3CDTF">2013-12-23T23:15:00Z</dcterms:modified>
  <cp:category/>
</cp:coreProperties>
</file>